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2F25D65" w:rsidR="00992E96" w:rsidRPr="00BB212B" w:rsidRDefault="0B50786C" w:rsidP="0B50786C">
      <w:pPr>
        <w:pStyle w:val="LGAItemNoHeading"/>
        <w:spacing w:before="240"/>
        <w:jc w:val="both"/>
        <w:rPr>
          <w:rFonts w:ascii="Arial" w:hAnsi="Arial" w:cs="Arial"/>
          <w:sz w:val="28"/>
          <w:szCs w:val="28"/>
        </w:rPr>
      </w:pPr>
      <w:r w:rsidRPr="0B50786C">
        <w:rPr>
          <w:rFonts w:ascii="Arial" w:hAnsi="Arial" w:cs="Arial"/>
          <w:sz w:val="28"/>
          <w:szCs w:val="28"/>
        </w:rPr>
        <w:t>Local Government Finance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B50786C" w:rsidP="0B50786C">
      <w:pPr>
        <w:pStyle w:val="MainText"/>
        <w:spacing w:line="240" w:lineRule="auto"/>
        <w:jc w:val="both"/>
        <w:rPr>
          <w:rFonts w:ascii="Arial" w:hAnsi="Arial" w:cs="Arial"/>
          <w:b/>
          <w:bCs/>
        </w:rPr>
      </w:pPr>
      <w:r w:rsidRPr="0B50786C">
        <w:rPr>
          <w:rFonts w:ascii="Arial" w:hAnsi="Arial" w:cs="Arial"/>
        </w:rPr>
        <w:t>For information and</w:t>
      </w:r>
      <w:r w:rsidRPr="0B50786C">
        <w:rPr>
          <w:rFonts w:ascii="Arial" w:hAnsi="Arial" w:cs="Arial"/>
          <w:i/>
          <w:iCs/>
        </w:rPr>
        <w:t xml:space="preserve"> </w:t>
      </w:r>
      <w:r w:rsidRPr="0B50786C">
        <w:rPr>
          <w:rFonts w:ascii="Arial" w:hAnsi="Arial" w:cs="Arial"/>
        </w:rPr>
        <w:t>discussion.</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44119894" w:rsidR="00992E96" w:rsidRPr="00765850" w:rsidRDefault="0B50786C" w:rsidP="007F59C0">
      <w:pPr>
        <w:pStyle w:val="MainText"/>
        <w:spacing w:line="240" w:lineRule="auto"/>
        <w:rPr>
          <w:rFonts w:ascii="Arial" w:hAnsi="Arial" w:cs="Arial"/>
        </w:rPr>
      </w:pPr>
      <w:r w:rsidRPr="0B50786C">
        <w:rPr>
          <w:rFonts w:ascii="Arial" w:hAnsi="Arial" w:cs="Arial"/>
        </w:rPr>
        <w:t xml:space="preserve">This report updates members on progress of the LGA’s work related to local government finance policy since the last meeting of the Board. It focusses on </w:t>
      </w:r>
      <w:r w:rsidR="00F83D41">
        <w:rPr>
          <w:rFonts w:ascii="Arial" w:hAnsi="Arial" w:cs="Arial"/>
        </w:rPr>
        <w:t>the Spring Statement</w:t>
      </w:r>
      <w:r w:rsidR="00BD3C49">
        <w:rPr>
          <w:rFonts w:ascii="Arial" w:hAnsi="Arial" w:cs="Arial"/>
        </w:rPr>
        <w:t>, the F</w:t>
      </w:r>
      <w:r w:rsidR="00F83D41" w:rsidRPr="000B2009">
        <w:rPr>
          <w:rFonts w:ascii="Arial" w:hAnsi="Arial" w:cs="Arial"/>
        </w:rPr>
        <w:t xml:space="preserve">air </w:t>
      </w:r>
      <w:r w:rsidR="00BD3C49">
        <w:rPr>
          <w:rFonts w:ascii="Arial" w:hAnsi="Arial" w:cs="Arial"/>
        </w:rPr>
        <w:t>F</w:t>
      </w:r>
      <w:r w:rsidR="00F83D41" w:rsidRPr="000B2009">
        <w:rPr>
          <w:rFonts w:ascii="Arial" w:hAnsi="Arial" w:cs="Arial"/>
        </w:rPr>
        <w:t xml:space="preserve">unding </w:t>
      </w:r>
      <w:r w:rsidR="00BD3C49">
        <w:rPr>
          <w:rFonts w:ascii="Arial" w:hAnsi="Arial" w:cs="Arial"/>
        </w:rPr>
        <w:t>R</w:t>
      </w:r>
      <w:r w:rsidR="00F83D41" w:rsidRPr="000B2009">
        <w:rPr>
          <w:rFonts w:ascii="Arial" w:hAnsi="Arial" w:cs="Arial"/>
        </w:rPr>
        <w:t xml:space="preserve">eview, </w:t>
      </w:r>
      <w:r w:rsidRPr="000B2009">
        <w:rPr>
          <w:rFonts w:ascii="Arial" w:hAnsi="Arial" w:cs="Arial"/>
        </w:rPr>
        <w:t xml:space="preserve">business rates retention reform and </w:t>
      </w:r>
      <w:r w:rsidR="00F83D41" w:rsidRPr="000B2009">
        <w:rPr>
          <w:rFonts w:ascii="Arial" w:hAnsi="Arial" w:cs="Arial"/>
        </w:rPr>
        <w:t>other matters</w:t>
      </w:r>
      <w:r w:rsidRPr="000B2009">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7FC9C9FB" w:rsidR="00992E96" w:rsidRPr="0021114E" w:rsidRDefault="0B50786C" w:rsidP="0B50786C">
            <w:pPr>
              <w:pStyle w:val="MainText"/>
              <w:spacing w:line="240" w:lineRule="auto"/>
              <w:jc w:val="both"/>
              <w:rPr>
                <w:rFonts w:ascii="Arial" w:hAnsi="Arial" w:cs="Arial"/>
              </w:rPr>
            </w:pPr>
            <w:r w:rsidRPr="0B50786C">
              <w:rPr>
                <w:rFonts w:ascii="Arial" w:hAnsi="Arial" w:cs="Arial"/>
              </w:rPr>
              <w:t xml:space="preserve">That </w:t>
            </w:r>
            <w:r w:rsidR="00CF288A">
              <w:rPr>
                <w:rFonts w:ascii="Arial" w:hAnsi="Arial" w:cs="Arial"/>
              </w:rPr>
              <w:t>M</w:t>
            </w:r>
            <w:r w:rsidRPr="0B50786C">
              <w:rPr>
                <w:rFonts w:ascii="Arial" w:hAnsi="Arial" w:cs="Arial"/>
              </w:rPr>
              <w:t xml:space="preserve">embers </w:t>
            </w:r>
            <w:r w:rsidR="00CF288A">
              <w:rPr>
                <w:rFonts w:ascii="Arial" w:hAnsi="Arial" w:cs="Arial"/>
              </w:rPr>
              <w:t xml:space="preserve">of the Resources Board </w:t>
            </w:r>
            <w:r w:rsidRPr="0B50786C">
              <w:rPr>
                <w:rFonts w:ascii="Arial" w:hAnsi="Arial" w:cs="Arial"/>
              </w:rPr>
              <w:t>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B50786C" w:rsidP="0B50786C">
            <w:pPr>
              <w:pStyle w:val="MainText"/>
              <w:spacing w:line="240" w:lineRule="auto"/>
              <w:jc w:val="both"/>
              <w:rPr>
                <w:rFonts w:ascii="Arial" w:hAnsi="Arial" w:cs="Arial"/>
              </w:rPr>
            </w:pPr>
            <w:r w:rsidRPr="0B50786C">
              <w:rPr>
                <w:rFonts w:ascii="Arial" w:hAnsi="Arial" w:cs="Arial"/>
              </w:rPr>
              <w:t>Officers to proceed as directed.</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C8B08E6"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8427C24"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1995E65"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6A56FB06" w:rsidR="00992E96" w:rsidRPr="0073658D" w:rsidRDefault="00112ABB" w:rsidP="007977F7">
            <w:pPr>
              <w:pStyle w:val="MainText"/>
              <w:spacing w:before="120" w:line="240" w:lineRule="auto"/>
              <w:jc w:val="both"/>
              <w:rPr>
                <w:rFonts w:ascii="Arial" w:hAnsi="Arial" w:cs="Arial"/>
                <w:sz w:val="22"/>
                <w:szCs w:val="22"/>
              </w:rPr>
            </w:pPr>
            <w:hyperlink r:id="rId11" w:history="1">
              <w:r w:rsidR="002048CA" w:rsidRPr="0073658D">
                <w:rPr>
                  <w:rStyle w:val="Hyperlink"/>
                  <w:rFonts w:ascii="Arial" w:hAnsi="Arial" w:cs="Arial"/>
                  <w:sz w:val="22"/>
                  <w:szCs w:val="22"/>
                </w:rPr>
                <w:t>nicola.morton@local.gov.uk</w:t>
              </w:r>
            </w:hyperlink>
            <w:r w:rsidR="002048CA" w:rsidRPr="0073658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7ED72F85" w14:textId="4DC1531F" w:rsidR="00463758" w:rsidRPr="00BB212B" w:rsidRDefault="0B50786C" w:rsidP="0B50786C">
      <w:pPr>
        <w:pStyle w:val="LGAItemNoHeading"/>
        <w:spacing w:before="240"/>
        <w:jc w:val="both"/>
        <w:rPr>
          <w:rFonts w:ascii="Arial" w:hAnsi="Arial" w:cs="Arial"/>
          <w:sz w:val="28"/>
          <w:szCs w:val="28"/>
        </w:rPr>
      </w:pPr>
      <w:bookmarkStart w:id="2" w:name="MainHeading2"/>
      <w:bookmarkEnd w:id="2"/>
      <w:r w:rsidRPr="0B50786C">
        <w:rPr>
          <w:rFonts w:ascii="Arial" w:hAnsi="Arial" w:cs="Arial"/>
          <w:sz w:val="28"/>
          <w:szCs w:val="28"/>
        </w:rPr>
        <w:lastRenderedPageBreak/>
        <w:t>Local Government Finance Update</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B50786C" w:rsidP="002A1A03">
      <w:pPr>
        <w:rPr>
          <w:rFonts w:ascii="Arial" w:hAnsi="Arial" w:cs="Arial"/>
          <w:b/>
          <w:bCs/>
        </w:rPr>
      </w:pPr>
      <w:r w:rsidRPr="0B50786C">
        <w:rPr>
          <w:rFonts w:ascii="Arial" w:hAnsi="Arial" w:cs="Arial"/>
          <w:b/>
          <w:bCs/>
        </w:rPr>
        <w:t>Introduction</w:t>
      </w:r>
    </w:p>
    <w:p w14:paraId="605ECBCC" w14:textId="77777777" w:rsidR="00765850" w:rsidRPr="002048CA" w:rsidRDefault="00765850" w:rsidP="002A1A03">
      <w:pPr>
        <w:rPr>
          <w:rFonts w:ascii="Arial" w:hAnsi="Arial" w:cs="Arial"/>
          <w:szCs w:val="22"/>
        </w:rPr>
      </w:pPr>
    </w:p>
    <w:p w14:paraId="3EDB891E" w14:textId="3C36C119" w:rsidR="00AD1143" w:rsidRDefault="0B50786C" w:rsidP="002A1A03">
      <w:pPr>
        <w:pStyle w:val="MainText"/>
        <w:numPr>
          <w:ilvl w:val="0"/>
          <w:numId w:val="1"/>
        </w:numPr>
        <w:spacing w:line="240" w:lineRule="auto"/>
        <w:rPr>
          <w:rFonts w:ascii="Arial" w:hAnsi="Arial" w:cs="Arial"/>
        </w:rPr>
      </w:pPr>
      <w:r w:rsidRPr="0B50786C">
        <w:rPr>
          <w:rFonts w:ascii="Arial" w:hAnsi="Arial" w:cs="Arial"/>
        </w:rPr>
        <w:t>This report updates members on progress of the LGA’s work related to local government finance policy</w:t>
      </w:r>
      <w:r w:rsidR="00463F86">
        <w:rPr>
          <w:rFonts w:ascii="Arial" w:hAnsi="Arial" w:cs="Arial"/>
        </w:rPr>
        <w:t xml:space="preserve"> </w:t>
      </w:r>
      <w:r w:rsidR="00463F86" w:rsidRPr="0B50786C">
        <w:rPr>
          <w:rFonts w:ascii="Arial" w:hAnsi="Arial" w:cs="Arial"/>
        </w:rPr>
        <w:t>since the last meeting of the Board</w:t>
      </w:r>
      <w:r w:rsidR="00AF3C98">
        <w:rPr>
          <w:rFonts w:ascii="Arial" w:hAnsi="Arial" w:cs="Arial"/>
        </w:rPr>
        <w:t>,</w:t>
      </w:r>
      <w:r w:rsidRPr="0B50786C">
        <w:rPr>
          <w:rFonts w:ascii="Arial" w:hAnsi="Arial" w:cs="Arial"/>
        </w:rPr>
        <w:t xml:space="preserve"> </w:t>
      </w:r>
      <w:r w:rsidR="008D004C">
        <w:rPr>
          <w:rFonts w:ascii="Arial" w:hAnsi="Arial" w:cs="Arial"/>
        </w:rPr>
        <w:t xml:space="preserve">including the Spring </w:t>
      </w:r>
      <w:r w:rsidR="008D004C" w:rsidRPr="000B2009">
        <w:rPr>
          <w:rFonts w:ascii="Arial" w:hAnsi="Arial" w:cs="Arial"/>
        </w:rPr>
        <w:t>Statement</w:t>
      </w:r>
      <w:r w:rsidR="008D004C">
        <w:rPr>
          <w:rFonts w:ascii="Arial" w:hAnsi="Arial" w:cs="Arial"/>
        </w:rPr>
        <w:t>, the Fair F</w:t>
      </w:r>
      <w:r w:rsidR="008D004C" w:rsidRPr="000B2009">
        <w:rPr>
          <w:rFonts w:ascii="Arial" w:hAnsi="Arial" w:cs="Arial"/>
        </w:rPr>
        <w:t xml:space="preserve">unding </w:t>
      </w:r>
      <w:r w:rsidR="008D004C">
        <w:rPr>
          <w:rFonts w:ascii="Arial" w:hAnsi="Arial" w:cs="Arial"/>
        </w:rPr>
        <w:t>R</w:t>
      </w:r>
      <w:r w:rsidR="008D004C" w:rsidRPr="000B2009">
        <w:rPr>
          <w:rFonts w:ascii="Arial" w:hAnsi="Arial" w:cs="Arial"/>
        </w:rPr>
        <w:t>eview</w:t>
      </w:r>
      <w:r w:rsidR="00463F86">
        <w:rPr>
          <w:rFonts w:ascii="Arial" w:hAnsi="Arial" w:cs="Arial"/>
        </w:rPr>
        <w:t xml:space="preserve"> and</w:t>
      </w:r>
      <w:r w:rsidR="008D004C" w:rsidRPr="000B2009">
        <w:rPr>
          <w:rFonts w:ascii="Arial" w:hAnsi="Arial" w:cs="Arial"/>
        </w:rPr>
        <w:t xml:space="preserve"> business rates retention</w:t>
      </w:r>
      <w:r w:rsidR="00F83D41" w:rsidRPr="000B2009">
        <w:rPr>
          <w:rFonts w:ascii="Arial" w:hAnsi="Arial" w:cs="Arial"/>
        </w:rPr>
        <w:t>.</w:t>
      </w:r>
    </w:p>
    <w:p w14:paraId="4D241312" w14:textId="77777777" w:rsidR="00CF6100" w:rsidRDefault="00CF6100" w:rsidP="002A1A03">
      <w:pPr>
        <w:pStyle w:val="MainText"/>
        <w:spacing w:line="240" w:lineRule="auto"/>
        <w:ind w:left="360"/>
        <w:rPr>
          <w:rFonts w:ascii="Arial" w:hAnsi="Arial" w:cs="Arial"/>
          <w:szCs w:val="22"/>
        </w:rPr>
      </w:pPr>
    </w:p>
    <w:p w14:paraId="287E028A" w14:textId="780C9937" w:rsidR="00CF6100" w:rsidRPr="00CF6100" w:rsidRDefault="0B50786C" w:rsidP="002A1A03">
      <w:pPr>
        <w:pStyle w:val="MainText"/>
        <w:numPr>
          <w:ilvl w:val="0"/>
          <w:numId w:val="1"/>
        </w:numPr>
        <w:spacing w:line="240" w:lineRule="auto"/>
        <w:rPr>
          <w:rFonts w:ascii="Arial" w:hAnsi="Arial" w:cs="Arial"/>
          <w:color w:val="000000" w:themeColor="text1"/>
        </w:rPr>
      </w:pPr>
      <w:r w:rsidRPr="0B50786C">
        <w:rPr>
          <w:rFonts w:ascii="Arial" w:hAnsi="Arial" w:cs="Arial"/>
        </w:rPr>
        <w:t>The LGA</w:t>
      </w:r>
      <w:r w:rsidR="00AF3C98">
        <w:rPr>
          <w:rFonts w:ascii="Arial" w:hAnsi="Arial" w:cs="Arial"/>
        </w:rPr>
        <w:t>’s</w:t>
      </w:r>
      <w:r w:rsidRPr="0B50786C">
        <w:rPr>
          <w:rFonts w:ascii="Arial" w:hAnsi="Arial" w:cs="Arial"/>
        </w:rPr>
        <w:t xml:space="preserve"> Leadership </w:t>
      </w:r>
      <w:r w:rsidR="00AF3C98">
        <w:rPr>
          <w:rFonts w:ascii="Arial" w:hAnsi="Arial" w:cs="Arial"/>
        </w:rPr>
        <w:t>B</w:t>
      </w:r>
      <w:r w:rsidRPr="0B50786C">
        <w:rPr>
          <w:rFonts w:ascii="Arial" w:hAnsi="Arial" w:cs="Arial"/>
        </w:rPr>
        <w:t xml:space="preserve">oard and Executive set the policy direction on business rates retention reform and the Fair Funding Review, with the assistance of the LGA </w:t>
      </w:r>
      <w:r w:rsidR="00AF3C98">
        <w:rPr>
          <w:rFonts w:ascii="Arial" w:hAnsi="Arial" w:cs="Arial"/>
        </w:rPr>
        <w:t xml:space="preserve">Fair Funding </w:t>
      </w:r>
      <w:r w:rsidR="00A132F4">
        <w:rPr>
          <w:rFonts w:ascii="Arial" w:hAnsi="Arial" w:cs="Arial"/>
        </w:rPr>
        <w:t xml:space="preserve">Review </w:t>
      </w:r>
      <w:r w:rsidR="00AF3C98">
        <w:rPr>
          <w:rFonts w:ascii="Arial" w:hAnsi="Arial" w:cs="Arial"/>
        </w:rPr>
        <w:t xml:space="preserve">and </w:t>
      </w:r>
      <w:r w:rsidRPr="0B50786C">
        <w:rPr>
          <w:rFonts w:ascii="Arial" w:hAnsi="Arial" w:cs="Arial"/>
        </w:rPr>
        <w:t xml:space="preserve">Business Rates </w:t>
      </w:r>
      <w:r w:rsidR="00AF3C98">
        <w:rPr>
          <w:rFonts w:ascii="Arial" w:hAnsi="Arial" w:cs="Arial"/>
        </w:rPr>
        <w:t xml:space="preserve">Retention </w:t>
      </w:r>
      <w:r w:rsidRPr="0B50786C">
        <w:rPr>
          <w:rFonts w:ascii="Arial" w:hAnsi="Arial" w:cs="Arial"/>
        </w:rPr>
        <w:t>Task and Finish Group.</w:t>
      </w:r>
    </w:p>
    <w:p w14:paraId="1CD7CE2A" w14:textId="77777777" w:rsidR="00AD1143" w:rsidRPr="002048CA" w:rsidRDefault="00AD1143" w:rsidP="002A1A03">
      <w:pPr>
        <w:pStyle w:val="ListParagraph"/>
        <w:rPr>
          <w:rFonts w:ascii="Arial" w:hAnsi="Arial" w:cs="Arial"/>
          <w:szCs w:val="22"/>
        </w:rPr>
      </w:pPr>
    </w:p>
    <w:p w14:paraId="30574DBB" w14:textId="3D8372DB" w:rsidR="00F83D41" w:rsidRPr="00BE3E02" w:rsidRDefault="00F83D41" w:rsidP="002A1A03">
      <w:pPr>
        <w:rPr>
          <w:rFonts w:ascii="Arial" w:hAnsi="Arial" w:cs="Arial"/>
          <w:b/>
          <w:bCs/>
        </w:rPr>
      </w:pPr>
      <w:r>
        <w:rPr>
          <w:rFonts w:ascii="Arial" w:hAnsi="Arial" w:cs="Arial"/>
          <w:b/>
          <w:bCs/>
        </w:rPr>
        <w:t>Spring Statement</w:t>
      </w:r>
    </w:p>
    <w:p w14:paraId="01E4F07D" w14:textId="77777777" w:rsidR="00F83D41" w:rsidRDefault="00F83D41" w:rsidP="002A1A03">
      <w:pPr>
        <w:rPr>
          <w:rFonts w:ascii="Arial" w:hAnsi="Arial" w:cs="Arial"/>
          <w:b/>
          <w:bCs/>
        </w:rPr>
      </w:pPr>
    </w:p>
    <w:p w14:paraId="30666E88" w14:textId="19615BB7" w:rsidR="001F1FF1" w:rsidRPr="001F1FF1" w:rsidRDefault="001F1FF1" w:rsidP="002A1A03">
      <w:pPr>
        <w:pStyle w:val="ListParagraph"/>
        <w:numPr>
          <w:ilvl w:val="0"/>
          <w:numId w:val="1"/>
        </w:numPr>
        <w:rPr>
          <w:rFonts w:ascii="Arial" w:hAnsi="Arial" w:cs="Arial"/>
          <w:bCs/>
        </w:rPr>
      </w:pPr>
      <w:r>
        <w:t>The Chancellor delivered his Spring Statement on Tuesday</w:t>
      </w:r>
      <w:r w:rsidR="00CF288A">
        <w:t xml:space="preserve"> </w:t>
      </w:r>
      <w:r>
        <w:t xml:space="preserve">13 March. As previously expected, the </w:t>
      </w:r>
      <w:r w:rsidR="006C2BA7">
        <w:t xml:space="preserve">Chancellor </w:t>
      </w:r>
      <w:r>
        <w:t xml:space="preserve">did not unveil new tax measures or extra spending. The LGA provided </w:t>
      </w:r>
      <w:hyperlink r:id="rId18" w:history="1">
        <w:r w:rsidRPr="00766459">
          <w:rPr>
            <w:rStyle w:val="Hyperlink"/>
          </w:rPr>
          <w:t>a short on-the-day briefing</w:t>
        </w:r>
      </w:hyperlink>
      <w:r>
        <w:t xml:space="preserve"> on the Statement as well as a </w:t>
      </w:r>
      <w:hyperlink r:id="rId19" w:history="1">
        <w:r w:rsidR="00766459" w:rsidRPr="00766459">
          <w:rPr>
            <w:rStyle w:val="Hyperlink"/>
          </w:rPr>
          <w:t>media statement</w:t>
        </w:r>
      </w:hyperlink>
      <w:r>
        <w:t xml:space="preserve"> setting out its reaction.</w:t>
      </w:r>
    </w:p>
    <w:p w14:paraId="12033167" w14:textId="77777777" w:rsidR="001F1FF1" w:rsidRPr="001F1FF1" w:rsidRDefault="001F1FF1" w:rsidP="002A1A03">
      <w:pPr>
        <w:pStyle w:val="ListParagraph"/>
        <w:ind w:left="360"/>
        <w:rPr>
          <w:rFonts w:ascii="Arial" w:hAnsi="Arial" w:cs="Arial"/>
          <w:bCs/>
        </w:rPr>
      </w:pPr>
    </w:p>
    <w:p w14:paraId="5486CE42" w14:textId="770586ED" w:rsidR="001F1FF1" w:rsidRPr="001F1FF1" w:rsidRDefault="00CA5AD6" w:rsidP="002A1A03">
      <w:pPr>
        <w:pStyle w:val="ListParagraph"/>
        <w:numPr>
          <w:ilvl w:val="0"/>
          <w:numId w:val="1"/>
        </w:numPr>
        <w:rPr>
          <w:rFonts w:ascii="Arial" w:hAnsi="Arial" w:cs="Arial"/>
          <w:bCs/>
        </w:rPr>
      </w:pPr>
      <w:r>
        <w:t>T</w:t>
      </w:r>
      <w:r w:rsidR="001F1FF1">
        <w:t>he Chancellor used the Spring Statement to confirm that the 2018 Autumn Budget will set total public expenditure limits for 2020/21 and future financial years. In 2019, a Spending Review will then allocate th</w:t>
      </w:r>
      <w:r>
        <w:t>e funds</w:t>
      </w:r>
      <w:r w:rsidR="001F1FF1">
        <w:t xml:space="preserve"> to Government departments. Funding for local government at a national level is normally covered by this exercise.</w:t>
      </w:r>
    </w:p>
    <w:p w14:paraId="668E632B" w14:textId="77777777" w:rsidR="001F1FF1" w:rsidRPr="001F1FF1" w:rsidRDefault="001F1FF1" w:rsidP="002A1A03">
      <w:pPr>
        <w:pStyle w:val="ListParagraph"/>
        <w:rPr>
          <w:rFonts w:ascii="Arial" w:hAnsi="Arial" w:cs="Arial"/>
          <w:bCs/>
        </w:rPr>
      </w:pPr>
    </w:p>
    <w:p w14:paraId="45E4689F" w14:textId="0504EAED" w:rsidR="001F1FF1" w:rsidRDefault="001F1FF1" w:rsidP="002A1A03">
      <w:pPr>
        <w:pStyle w:val="ListParagraph"/>
        <w:numPr>
          <w:ilvl w:val="0"/>
          <w:numId w:val="1"/>
        </w:numPr>
        <w:rPr>
          <w:rFonts w:ascii="Arial" w:hAnsi="Arial" w:cs="Arial"/>
          <w:bCs/>
        </w:rPr>
      </w:pPr>
      <w:r>
        <w:rPr>
          <w:rFonts w:ascii="Arial" w:hAnsi="Arial" w:cs="Arial"/>
          <w:bCs/>
        </w:rPr>
        <w:t>Officers are starting work on influencing the Autumn Budget and the Spending Review, as the combination of both events is likely to set national funding totals for local government until the next General Election. As a starting point, the LGA is looking to produce estimates of the funding challenge facing local services by 2025. Officers expect the results of this work to be ready in the summer.</w:t>
      </w:r>
    </w:p>
    <w:p w14:paraId="6F4BB9EC" w14:textId="77777777" w:rsidR="00B44A03" w:rsidRPr="00B44A03" w:rsidRDefault="00B44A03" w:rsidP="002A1A03">
      <w:pPr>
        <w:pStyle w:val="ListParagraph"/>
        <w:rPr>
          <w:rFonts w:ascii="Arial" w:hAnsi="Arial" w:cs="Arial"/>
          <w:bCs/>
        </w:rPr>
      </w:pPr>
    </w:p>
    <w:p w14:paraId="24A52A12" w14:textId="69896E69" w:rsidR="00B44A03" w:rsidRPr="001F1FF1" w:rsidRDefault="00B44A03" w:rsidP="002A1A03">
      <w:pPr>
        <w:pStyle w:val="ListParagraph"/>
        <w:numPr>
          <w:ilvl w:val="0"/>
          <w:numId w:val="1"/>
        </w:numPr>
        <w:rPr>
          <w:rFonts w:ascii="Arial" w:hAnsi="Arial" w:cs="Arial"/>
          <w:bCs/>
        </w:rPr>
      </w:pPr>
      <w:r>
        <w:rPr>
          <w:rFonts w:ascii="Arial" w:hAnsi="Arial" w:cs="Arial"/>
          <w:bCs/>
        </w:rPr>
        <w:t xml:space="preserve">Member thoughts </w:t>
      </w:r>
      <w:r w:rsidR="00DA5B89">
        <w:rPr>
          <w:rFonts w:ascii="Arial" w:hAnsi="Arial" w:cs="Arial"/>
          <w:bCs/>
        </w:rPr>
        <w:t xml:space="preserve">on </w:t>
      </w:r>
      <w:r>
        <w:rPr>
          <w:rFonts w:ascii="Arial" w:hAnsi="Arial" w:cs="Arial"/>
          <w:bCs/>
        </w:rPr>
        <w:t>the LGA’s approach to the Autumn Budget and Spending R</w:t>
      </w:r>
      <w:r w:rsidRPr="00363AAD">
        <w:rPr>
          <w:rFonts w:ascii="Arial" w:hAnsi="Arial" w:cs="Arial"/>
          <w:bCs/>
        </w:rPr>
        <w:t>eview</w:t>
      </w:r>
      <w:r w:rsidR="006C2BA7">
        <w:rPr>
          <w:rFonts w:ascii="Arial" w:hAnsi="Arial" w:cs="Arial"/>
          <w:bCs/>
        </w:rPr>
        <w:t>, and any suggestions for content,</w:t>
      </w:r>
      <w:r w:rsidRPr="00363AAD">
        <w:rPr>
          <w:rFonts w:ascii="Arial" w:hAnsi="Arial" w:cs="Arial"/>
          <w:bCs/>
        </w:rPr>
        <w:t xml:space="preserve"> are welcome</w:t>
      </w:r>
      <w:r w:rsidR="00DA5B89">
        <w:rPr>
          <w:rFonts w:ascii="Arial" w:hAnsi="Arial" w:cs="Arial"/>
          <w:bCs/>
        </w:rPr>
        <w:t xml:space="preserve">.  </w:t>
      </w:r>
      <w:r w:rsidR="006C2BA7">
        <w:rPr>
          <w:rFonts w:ascii="Arial" w:hAnsi="Arial" w:cs="Arial"/>
          <w:bCs/>
        </w:rPr>
        <w:t xml:space="preserve">The </w:t>
      </w:r>
      <w:r w:rsidRPr="00363AAD">
        <w:rPr>
          <w:rFonts w:ascii="Arial" w:hAnsi="Arial" w:cs="Arial"/>
          <w:bCs/>
        </w:rPr>
        <w:t xml:space="preserve">LGA Leadership Board will discuss </w:t>
      </w:r>
      <w:r w:rsidR="00DA5B89">
        <w:rPr>
          <w:rFonts w:ascii="Arial" w:hAnsi="Arial" w:cs="Arial"/>
          <w:bCs/>
        </w:rPr>
        <w:t xml:space="preserve">approaches to </w:t>
      </w:r>
      <w:r w:rsidRPr="00363AAD">
        <w:rPr>
          <w:rFonts w:ascii="Arial" w:hAnsi="Arial" w:cs="Arial"/>
          <w:bCs/>
        </w:rPr>
        <w:t xml:space="preserve">this </w:t>
      </w:r>
      <w:r w:rsidR="00DA5B89">
        <w:rPr>
          <w:rFonts w:ascii="Arial" w:hAnsi="Arial" w:cs="Arial"/>
          <w:bCs/>
        </w:rPr>
        <w:t>work during the</w:t>
      </w:r>
      <w:r w:rsidRPr="00363AAD">
        <w:rPr>
          <w:rFonts w:ascii="Arial" w:hAnsi="Arial" w:cs="Arial"/>
          <w:bCs/>
        </w:rPr>
        <w:t xml:space="preserve"> </w:t>
      </w:r>
      <w:r w:rsidR="00363AAD" w:rsidRPr="00363AAD">
        <w:rPr>
          <w:rFonts w:ascii="Arial" w:hAnsi="Arial" w:cs="Arial"/>
          <w:bCs/>
        </w:rPr>
        <w:t xml:space="preserve">June </w:t>
      </w:r>
      <w:r w:rsidRPr="00363AAD">
        <w:rPr>
          <w:rFonts w:ascii="Arial" w:hAnsi="Arial" w:cs="Arial"/>
          <w:bCs/>
        </w:rPr>
        <w:t>meeting.</w:t>
      </w:r>
      <w:r w:rsidR="00DA5B89">
        <w:rPr>
          <w:rFonts w:ascii="Arial" w:hAnsi="Arial" w:cs="Arial"/>
          <w:bCs/>
        </w:rPr>
        <w:t xml:space="preserve">  O</w:t>
      </w:r>
      <w:r w:rsidR="00DA5B89" w:rsidRPr="00363AAD">
        <w:rPr>
          <w:rFonts w:ascii="Arial" w:hAnsi="Arial" w:cs="Arial"/>
          <w:bCs/>
        </w:rPr>
        <w:t>fficers w</w:t>
      </w:r>
      <w:r w:rsidR="005B44E5">
        <w:rPr>
          <w:rFonts w:ascii="Arial" w:hAnsi="Arial" w:cs="Arial"/>
          <w:bCs/>
        </w:rPr>
        <w:t xml:space="preserve">ill continue to provide updates </w:t>
      </w:r>
      <w:r w:rsidR="00DA5B89">
        <w:rPr>
          <w:rFonts w:ascii="Arial" w:hAnsi="Arial" w:cs="Arial"/>
          <w:bCs/>
        </w:rPr>
        <w:t>at</w:t>
      </w:r>
      <w:r w:rsidR="00DA5B89" w:rsidRPr="00363AAD">
        <w:rPr>
          <w:rFonts w:ascii="Arial" w:hAnsi="Arial" w:cs="Arial"/>
          <w:bCs/>
        </w:rPr>
        <w:t xml:space="preserve"> future meetings</w:t>
      </w:r>
      <w:r w:rsidR="00DA5B89">
        <w:rPr>
          <w:rFonts w:ascii="Arial" w:hAnsi="Arial" w:cs="Arial"/>
          <w:bCs/>
        </w:rPr>
        <w:t xml:space="preserve"> of the Resources Board.</w:t>
      </w:r>
    </w:p>
    <w:p w14:paraId="6CE02987" w14:textId="77777777" w:rsidR="00B44A03" w:rsidRPr="001D63BC" w:rsidRDefault="00B44A03" w:rsidP="002A1A03">
      <w:pPr>
        <w:autoSpaceDE w:val="0"/>
        <w:autoSpaceDN w:val="0"/>
        <w:adjustRightInd w:val="0"/>
        <w:rPr>
          <w:rFonts w:ascii="Arial" w:hAnsi="Arial" w:cs="Arial"/>
          <w:b/>
          <w:szCs w:val="22"/>
        </w:rPr>
      </w:pPr>
    </w:p>
    <w:p w14:paraId="3A83933C" w14:textId="77777777" w:rsidR="00F83D41" w:rsidRPr="002048CA" w:rsidRDefault="00F83D41" w:rsidP="002A1A03">
      <w:pPr>
        <w:rPr>
          <w:rFonts w:ascii="Arial" w:hAnsi="Arial" w:cs="Arial"/>
        </w:rPr>
      </w:pPr>
      <w:r w:rsidRPr="0B50786C">
        <w:rPr>
          <w:rFonts w:ascii="Arial" w:hAnsi="Arial" w:cs="Arial"/>
          <w:b/>
          <w:bCs/>
        </w:rPr>
        <w:t>Fair Funding Review</w:t>
      </w:r>
    </w:p>
    <w:p w14:paraId="64B43FC2" w14:textId="77777777" w:rsidR="00F83D41" w:rsidRPr="002048CA" w:rsidRDefault="00F83D41" w:rsidP="002A1A03">
      <w:pPr>
        <w:pStyle w:val="ListParagraph"/>
        <w:ind w:left="360"/>
        <w:rPr>
          <w:rFonts w:ascii="Arial" w:hAnsi="Arial" w:cs="Arial"/>
          <w:szCs w:val="22"/>
        </w:rPr>
      </w:pPr>
    </w:p>
    <w:p w14:paraId="71FEE2F2" w14:textId="067AE115" w:rsidR="00F83D41" w:rsidRPr="002048CA" w:rsidRDefault="00766459" w:rsidP="002A1A03">
      <w:pPr>
        <w:pStyle w:val="ListParagraph"/>
        <w:numPr>
          <w:ilvl w:val="0"/>
          <w:numId w:val="1"/>
        </w:numPr>
        <w:contextualSpacing/>
        <w:rPr>
          <w:rFonts w:ascii="Arial" w:hAnsi="Arial" w:cs="Arial"/>
        </w:rPr>
      </w:pPr>
      <w:r>
        <w:rPr>
          <w:rFonts w:ascii="Arial" w:hAnsi="Arial" w:cs="Arial"/>
        </w:rPr>
        <w:t xml:space="preserve">The LGA submitted </w:t>
      </w:r>
      <w:hyperlink r:id="rId20" w:history="1">
        <w:r w:rsidRPr="00766459">
          <w:rPr>
            <w:rStyle w:val="Hyperlink"/>
            <w:rFonts w:ascii="Arial" w:hAnsi="Arial" w:cs="Arial"/>
          </w:rPr>
          <w:t>its response</w:t>
        </w:r>
      </w:hyperlink>
      <w:r>
        <w:rPr>
          <w:rFonts w:ascii="Arial" w:hAnsi="Arial" w:cs="Arial"/>
        </w:rPr>
        <w:t xml:space="preserve"> to the </w:t>
      </w:r>
      <w:hyperlink r:id="rId21" w:history="1">
        <w:r w:rsidRPr="00766459">
          <w:rPr>
            <w:rStyle w:val="Hyperlink"/>
            <w:rFonts w:ascii="Arial" w:hAnsi="Arial" w:cs="Arial"/>
          </w:rPr>
          <w:t>Government’s consultation on the Fair Funding Review</w:t>
        </w:r>
      </w:hyperlink>
      <w:r w:rsidR="00F83D41" w:rsidRPr="0B50786C">
        <w:rPr>
          <w:rFonts w:ascii="Arial" w:hAnsi="Arial" w:cs="Arial"/>
        </w:rPr>
        <w:t>.</w:t>
      </w:r>
      <w:r>
        <w:rPr>
          <w:rFonts w:ascii="Arial" w:hAnsi="Arial" w:cs="Arial"/>
        </w:rPr>
        <w:t xml:space="preserve"> The response was cleared by </w:t>
      </w:r>
      <w:r w:rsidR="00146025">
        <w:rPr>
          <w:rFonts w:ascii="Arial" w:hAnsi="Arial" w:cs="Arial"/>
        </w:rPr>
        <w:t xml:space="preserve">the </w:t>
      </w:r>
      <w:r>
        <w:rPr>
          <w:rFonts w:ascii="Arial" w:hAnsi="Arial" w:cs="Arial"/>
        </w:rPr>
        <w:t xml:space="preserve">LGA Leadership Board and Executive, </w:t>
      </w:r>
      <w:r w:rsidR="00146025">
        <w:rPr>
          <w:rFonts w:ascii="Arial" w:hAnsi="Arial" w:cs="Arial"/>
        </w:rPr>
        <w:t>following feedback from</w:t>
      </w:r>
      <w:r>
        <w:rPr>
          <w:rFonts w:ascii="Arial" w:hAnsi="Arial" w:cs="Arial"/>
        </w:rPr>
        <w:t xml:space="preserve"> the LGA Fair Funding Review and Business Rates </w:t>
      </w:r>
      <w:r w:rsidR="00146025">
        <w:rPr>
          <w:rFonts w:ascii="Arial" w:hAnsi="Arial" w:cs="Arial"/>
        </w:rPr>
        <w:t xml:space="preserve">Retention </w:t>
      </w:r>
      <w:r>
        <w:rPr>
          <w:rFonts w:ascii="Arial" w:hAnsi="Arial" w:cs="Arial"/>
        </w:rPr>
        <w:t>Task and Finish Group</w:t>
      </w:r>
      <w:r w:rsidR="00CF288A">
        <w:rPr>
          <w:rFonts w:ascii="Arial" w:hAnsi="Arial" w:cs="Arial"/>
        </w:rPr>
        <w:t>, L</w:t>
      </w:r>
      <w:r w:rsidR="00146025">
        <w:rPr>
          <w:rFonts w:ascii="Arial" w:hAnsi="Arial" w:cs="Arial"/>
        </w:rPr>
        <w:t xml:space="preserve">ead </w:t>
      </w:r>
      <w:r w:rsidR="00CF288A">
        <w:rPr>
          <w:rFonts w:ascii="Arial" w:hAnsi="Arial" w:cs="Arial"/>
        </w:rPr>
        <w:t>M</w:t>
      </w:r>
      <w:r w:rsidR="00146025">
        <w:rPr>
          <w:rFonts w:ascii="Arial" w:hAnsi="Arial" w:cs="Arial"/>
        </w:rPr>
        <w:t>embers of Resources Board, and representatives from local government special interest groups and treasurer societies</w:t>
      </w:r>
      <w:r>
        <w:rPr>
          <w:rFonts w:ascii="Arial" w:hAnsi="Arial" w:cs="Arial"/>
        </w:rPr>
        <w:t>.</w:t>
      </w:r>
    </w:p>
    <w:p w14:paraId="5A554637" w14:textId="77777777" w:rsidR="00F83D41" w:rsidRPr="002048CA" w:rsidRDefault="00F83D41" w:rsidP="002A1A03">
      <w:pPr>
        <w:pStyle w:val="ListParagraph"/>
        <w:ind w:left="360"/>
        <w:contextualSpacing/>
        <w:rPr>
          <w:rFonts w:ascii="Arial" w:hAnsi="Arial" w:cs="Arial"/>
          <w:szCs w:val="22"/>
        </w:rPr>
      </w:pPr>
    </w:p>
    <w:p w14:paraId="5FB93B92" w14:textId="1501D358" w:rsidR="00B4271B" w:rsidRDefault="00766459" w:rsidP="002A1A03">
      <w:pPr>
        <w:pStyle w:val="ListParagraph"/>
        <w:numPr>
          <w:ilvl w:val="0"/>
          <w:numId w:val="1"/>
        </w:numPr>
        <w:contextualSpacing/>
        <w:rPr>
          <w:rFonts w:ascii="Arial" w:hAnsi="Arial" w:cs="Arial"/>
        </w:rPr>
      </w:pPr>
      <w:r>
        <w:rPr>
          <w:rFonts w:ascii="Arial" w:hAnsi="Arial" w:cs="Arial"/>
        </w:rPr>
        <w:t>The respo</w:t>
      </w:r>
      <w:r w:rsidR="00B4271B">
        <w:rPr>
          <w:rFonts w:ascii="Arial" w:hAnsi="Arial" w:cs="Arial"/>
        </w:rPr>
        <w:t xml:space="preserve">nse provides answers to technical questions and makes the following </w:t>
      </w:r>
      <w:r w:rsidR="0026296D">
        <w:rPr>
          <w:rFonts w:ascii="Arial" w:hAnsi="Arial" w:cs="Arial"/>
        </w:rPr>
        <w:t xml:space="preserve">more general </w:t>
      </w:r>
      <w:r w:rsidR="00B4271B">
        <w:rPr>
          <w:rFonts w:ascii="Arial" w:hAnsi="Arial" w:cs="Arial"/>
        </w:rPr>
        <w:t>points:</w:t>
      </w:r>
    </w:p>
    <w:p w14:paraId="10D2FB75" w14:textId="77777777" w:rsidR="00B4271B" w:rsidRPr="00B4271B" w:rsidRDefault="00B4271B" w:rsidP="002A1A03">
      <w:pPr>
        <w:pStyle w:val="ListParagraph"/>
        <w:rPr>
          <w:rFonts w:ascii="Arial" w:hAnsi="Arial" w:cs="Arial"/>
        </w:rPr>
      </w:pPr>
    </w:p>
    <w:p w14:paraId="043C9F47" w14:textId="4CE6BA72" w:rsidR="00B4271B" w:rsidRPr="00B4271B" w:rsidRDefault="00DD6E79" w:rsidP="002A1A03">
      <w:pPr>
        <w:pStyle w:val="ListParagraph"/>
        <w:numPr>
          <w:ilvl w:val="1"/>
          <w:numId w:val="1"/>
        </w:numPr>
        <w:contextualSpacing/>
        <w:rPr>
          <w:rFonts w:ascii="Arial" w:hAnsi="Arial" w:cs="Arial"/>
        </w:rPr>
      </w:pPr>
      <w:r>
        <w:rPr>
          <w:sz w:val="23"/>
          <w:szCs w:val="23"/>
        </w:rPr>
        <w:lastRenderedPageBreak/>
        <w:t>In order for the outcome of</w:t>
      </w:r>
      <w:r w:rsidR="00B4271B">
        <w:rPr>
          <w:sz w:val="23"/>
          <w:szCs w:val="23"/>
        </w:rPr>
        <w:t xml:space="preserve"> the Review </w:t>
      </w:r>
      <w:r>
        <w:rPr>
          <w:sz w:val="23"/>
          <w:szCs w:val="23"/>
        </w:rPr>
        <w:t>to</w:t>
      </w:r>
      <w:r w:rsidR="00B4271B">
        <w:rPr>
          <w:sz w:val="23"/>
          <w:szCs w:val="23"/>
        </w:rPr>
        <w:t xml:space="preserve"> be successful and sustainable it </w:t>
      </w:r>
      <w:r>
        <w:rPr>
          <w:sz w:val="23"/>
          <w:szCs w:val="23"/>
        </w:rPr>
        <w:t>needs to be</w:t>
      </w:r>
      <w:r w:rsidR="00B4271B">
        <w:rPr>
          <w:sz w:val="23"/>
          <w:szCs w:val="23"/>
        </w:rPr>
        <w:t xml:space="preserve"> introduced alongside additional resources</w:t>
      </w:r>
      <w:r w:rsidR="007524DF">
        <w:rPr>
          <w:sz w:val="23"/>
          <w:szCs w:val="23"/>
        </w:rPr>
        <w:t xml:space="preserve"> to meet the funding gap and to deal with transition from one formulae to another</w:t>
      </w:r>
      <w:r w:rsidR="00B4271B">
        <w:rPr>
          <w:sz w:val="23"/>
          <w:szCs w:val="23"/>
        </w:rPr>
        <w:t xml:space="preserve">. </w:t>
      </w:r>
    </w:p>
    <w:p w14:paraId="3B828CEB" w14:textId="77777777" w:rsidR="00B4271B" w:rsidRPr="00B4271B" w:rsidRDefault="00B4271B" w:rsidP="002A1A03">
      <w:pPr>
        <w:pStyle w:val="ListParagraph"/>
        <w:ind w:left="792"/>
        <w:contextualSpacing/>
        <w:rPr>
          <w:rFonts w:ascii="Arial" w:hAnsi="Arial" w:cs="Arial"/>
          <w:szCs w:val="22"/>
        </w:rPr>
      </w:pPr>
    </w:p>
    <w:p w14:paraId="2DFBA54F" w14:textId="318E5483" w:rsidR="00F83D41" w:rsidRPr="00B4271B" w:rsidRDefault="007524DF" w:rsidP="002A1A03">
      <w:pPr>
        <w:pStyle w:val="ListParagraph"/>
        <w:numPr>
          <w:ilvl w:val="1"/>
          <w:numId w:val="1"/>
        </w:numPr>
        <w:contextualSpacing/>
        <w:rPr>
          <w:rFonts w:ascii="Arial" w:hAnsi="Arial" w:cs="Arial"/>
          <w:szCs w:val="22"/>
        </w:rPr>
      </w:pPr>
      <w:r>
        <w:rPr>
          <w:rFonts w:ascii="Arial" w:hAnsi="Arial" w:cs="Arial"/>
        </w:rPr>
        <w:t xml:space="preserve">A single formula </w:t>
      </w:r>
      <w:r w:rsidRPr="00B4271B">
        <w:rPr>
          <w:rFonts w:ascii="Arial" w:hAnsi="Arial" w:cs="Arial"/>
        </w:rPr>
        <w:t>to estimate relative needs for the totality of local government</w:t>
      </w:r>
      <w:r>
        <w:rPr>
          <w:rFonts w:ascii="Arial" w:hAnsi="Arial" w:cs="Arial"/>
        </w:rPr>
        <w:t xml:space="preserve"> </w:t>
      </w:r>
      <w:r w:rsidR="00B4271B" w:rsidRPr="00B4271B">
        <w:rPr>
          <w:rFonts w:ascii="Arial" w:hAnsi="Arial" w:cs="Arial"/>
        </w:rPr>
        <w:t>is highly likely to be too crude to deliver an equitable result. It is welcome the Government has recognised this by proposing service-specific formulae as an element of the assessment.</w:t>
      </w:r>
    </w:p>
    <w:p w14:paraId="43DE201B" w14:textId="77777777" w:rsidR="00B4271B" w:rsidRPr="00B4271B" w:rsidRDefault="00B4271B" w:rsidP="002A1A03">
      <w:pPr>
        <w:pStyle w:val="ListParagraph"/>
        <w:ind w:left="792"/>
        <w:contextualSpacing/>
        <w:rPr>
          <w:rFonts w:ascii="Arial" w:hAnsi="Arial" w:cs="Arial"/>
          <w:szCs w:val="22"/>
        </w:rPr>
      </w:pPr>
    </w:p>
    <w:p w14:paraId="5CABBDB4" w14:textId="0731E404" w:rsidR="00B4271B" w:rsidRPr="000A6C09" w:rsidRDefault="00B4271B" w:rsidP="002A1A03">
      <w:pPr>
        <w:pStyle w:val="ListParagraph"/>
        <w:numPr>
          <w:ilvl w:val="1"/>
          <w:numId w:val="1"/>
        </w:numPr>
        <w:contextualSpacing/>
        <w:rPr>
          <w:rFonts w:ascii="Arial" w:hAnsi="Arial" w:cs="Arial"/>
          <w:szCs w:val="22"/>
        </w:rPr>
      </w:pPr>
      <w:r>
        <w:rPr>
          <w:rFonts w:ascii="Arial" w:hAnsi="Arial" w:cs="Arial"/>
        </w:rPr>
        <w:t xml:space="preserve">In shortlisting cost drivers for the foundation formula, </w:t>
      </w:r>
      <w:r w:rsidRPr="00B4271B">
        <w:rPr>
          <w:rFonts w:ascii="Arial" w:hAnsi="Arial" w:cs="Arial"/>
        </w:rPr>
        <w:t xml:space="preserve">the Government should consider </w:t>
      </w:r>
      <w:r w:rsidR="006F115B">
        <w:rPr>
          <w:rFonts w:ascii="Arial" w:hAnsi="Arial" w:cs="Arial"/>
        </w:rPr>
        <w:t>density, rurality, large student population and daytime populations.</w:t>
      </w:r>
      <w:r>
        <w:rPr>
          <w:rFonts w:ascii="Arial" w:hAnsi="Arial" w:cs="Arial"/>
        </w:rPr>
        <w:t xml:space="preserve"> </w:t>
      </w:r>
      <w:r w:rsidR="007524DF">
        <w:rPr>
          <w:rFonts w:ascii="Arial" w:hAnsi="Arial" w:cs="Arial"/>
        </w:rPr>
        <w:t>Inclusion of indicators in a formulae</w:t>
      </w:r>
      <w:r w:rsidR="007524DF" w:rsidRPr="00B4271B">
        <w:rPr>
          <w:rFonts w:ascii="Arial" w:hAnsi="Arial" w:cs="Arial"/>
        </w:rPr>
        <w:t xml:space="preserve"> </w:t>
      </w:r>
      <w:r w:rsidRPr="00B4271B">
        <w:rPr>
          <w:rFonts w:ascii="Arial" w:hAnsi="Arial" w:cs="Arial"/>
        </w:rPr>
        <w:t>should be based on evidence rather than assumption.</w:t>
      </w:r>
    </w:p>
    <w:p w14:paraId="3321EF5F" w14:textId="77777777" w:rsidR="000A6C09" w:rsidRPr="000A6C09" w:rsidRDefault="000A6C09" w:rsidP="002A1A03">
      <w:pPr>
        <w:pStyle w:val="ListParagraph"/>
        <w:rPr>
          <w:rFonts w:ascii="Arial" w:hAnsi="Arial" w:cs="Arial"/>
          <w:szCs w:val="22"/>
        </w:rPr>
      </w:pPr>
    </w:p>
    <w:p w14:paraId="08189BE9" w14:textId="08E4FF9B" w:rsidR="000A6C09" w:rsidRPr="000A6C09" w:rsidRDefault="00161683" w:rsidP="002A1A03">
      <w:pPr>
        <w:pStyle w:val="ListParagraph"/>
        <w:numPr>
          <w:ilvl w:val="1"/>
          <w:numId w:val="1"/>
        </w:numPr>
        <w:contextualSpacing/>
        <w:rPr>
          <w:rFonts w:ascii="Arial" w:hAnsi="Arial" w:cs="Arial"/>
          <w:szCs w:val="22"/>
        </w:rPr>
      </w:pPr>
      <w:r>
        <w:rPr>
          <w:sz w:val="23"/>
          <w:szCs w:val="23"/>
        </w:rPr>
        <w:t>W</w:t>
      </w:r>
      <w:r w:rsidR="000A6C09">
        <w:rPr>
          <w:sz w:val="23"/>
          <w:szCs w:val="23"/>
        </w:rPr>
        <w:t xml:space="preserve">e support an approach that focusses on the drivers of demand and cost that cannot be affected by local policy choices. This would preserve the incentive to invest in prevention </w:t>
      </w:r>
      <w:r w:rsidR="0090168E">
        <w:rPr>
          <w:sz w:val="23"/>
          <w:szCs w:val="23"/>
        </w:rPr>
        <w:t>and</w:t>
      </w:r>
      <w:r w:rsidR="000A6C09">
        <w:rPr>
          <w:sz w:val="23"/>
          <w:szCs w:val="23"/>
        </w:rPr>
        <w:t xml:space="preserve"> the system would not be seen as creating perverse incentives.</w:t>
      </w:r>
    </w:p>
    <w:p w14:paraId="220D4889" w14:textId="77777777" w:rsidR="000A6C09" w:rsidRPr="000A6C09" w:rsidRDefault="000A6C09" w:rsidP="002A1A03">
      <w:pPr>
        <w:pStyle w:val="ListParagraph"/>
        <w:rPr>
          <w:rFonts w:ascii="Arial" w:hAnsi="Arial" w:cs="Arial"/>
          <w:szCs w:val="22"/>
        </w:rPr>
      </w:pPr>
    </w:p>
    <w:p w14:paraId="5E45424C" w14:textId="1324E0E1" w:rsidR="000A6C09" w:rsidRPr="000A6C09" w:rsidRDefault="000A6C09" w:rsidP="002A1A03">
      <w:pPr>
        <w:pStyle w:val="ListParagraph"/>
        <w:numPr>
          <w:ilvl w:val="1"/>
          <w:numId w:val="1"/>
        </w:numPr>
        <w:contextualSpacing/>
        <w:rPr>
          <w:rFonts w:ascii="Arial" w:hAnsi="Arial" w:cs="Arial"/>
          <w:szCs w:val="22"/>
        </w:rPr>
      </w:pPr>
      <w:r>
        <w:rPr>
          <w:sz w:val="23"/>
          <w:szCs w:val="23"/>
        </w:rPr>
        <w:t xml:space="preserve">The Government must make it clear that </w:t>
      </w:r>
      <w:r w:rsidR="0079222D">
        <w:rPr>
          <w:sz w:val="23"/>
          <w:szCs w:val="23"/>
        </w:rPr>
        <w:t xml:space="preserve">public health </w:t>
      </w:r>
      <w:r>
        <w:rPr>
          <w:sz w:val="23"/>
          <w:szCs w:val="23"/>
        </w:rPr>
        <w:t>will be a ‘service specific formula’ within the proposed structure, unless the cost drivers used in the formula match the ‘foundation’ formula.</w:t>
      </w:r>
    </w:p>
    <w:p w14:paraId="2E419890" w14:textId="77777777" w:rsidR="000A6C09" w:rsidRPr="000A6C09" w:rsidRDefault="000A6C09" w:rsidP="002A1A03">
      <w:pPr>
        <w:pStyle w:val="ListParagraph"/>
        <w:rPr>
          <w:rFonts w:ascii="Arial" w:hAnsi="Arial" w:cs="Arial"/>
          <w:szCs w:val="22"/>
        </w:rPr>
      </w:pPr>
    </w:p>
    <w:p w14:paraId="3E3910AD" w14:textId="0C4C0849" w:rsidR="000A6C09" w:rsidRPr="00B4271B" w:rsidRDefault="000A6C09" w:rsidP="002A1A03">
      <w:pPr>
        <w:pStyle w:val="ListParagraph"/>
        <w:numPr>
          <w:ilvl w:val="1"/>
          <w:numId w:val="1"/>
        </w:numPr>
        <w:contextualSpacing/>
        <w:rPr>
          <w:rFonts w:ascii="Arial" w:hAnsi="Arial" w:cs="Arial"/>
          <w:szCs w:val="22"/>
        </w:rPr>
      </w:pPr>
      <w:r>
        <w:rPr>
          <w:szCs w:val="22"/>
        </w:rPr>
        <w:t>T</w:t>
      </w:r>
      <w:r>
        <w:rPr>
          <w:sz w:val="23"/>
          <w:szCs w:val="23"/>
        </w:rPr>
        <w:t>he Government should explore non-HRA housing support as a service to be assessed under a specific formula.</w:t>
      </w:r>
    </w:p>
    <w:p w14:paraId="0B6C7F7E" w14:textId="77777777" w:rsidR="00B4271B" w:rsidRPr="002048CA" w:rsidRDefault="00B4271B" w:rsidP="002A1A03">
      <w:pPr>
        <w:pStyle w:val="ListParagraph"/>
        <w:ind w:left="792"/>
        <w:contextualSpacing/>
        <w:rPr>
          <w:rFonts w:ascii="Arial" w:hAnsi="Arial" w:cs="Arial"/>
          <w:szCs w:val="22"/>
        </w:rPr>
      </w:pPr>
    </w:p>
    <w:p w14:paraId="5144E835" w14:textId="11F202C6" w:rsidR="00B4271B" w:rsidRDefault="00AD7C22" w:rsidP="002A1A03">
      <w:pPr>
        <w:pStyle w:val="ListParagraph"/>
        <w:numPr>
          <w:ilvl w:val="1"/>
          <w:numId w:val="1"/>
        </w:numPr>
        <w:rPr>
          <w:rFonts w:ascii="Arial" w:hAnsi="Arial" w:cs="Arial"/>
        </w:rPr>
      </w:pPr>
      <w:r>
        <w:rPr>
          <w:rFonts w:ascii="Arial" w:hAnsi="Arial" w:cs="Arial"/>
        </w:rPr>
        <w:t xml:space="preserve">Some highly localised </w:t>
      </w:r>
      <w:r w:rsidR="00B4271B" w:rsidRPr="00B4271B">
        <w:rPr>
          <w:rFonts w:ascii="Arial" w:hAnsi="Arial" w:cs="Arial"/>
        </w:rPr>
        <w:t>cost pressure</w:t>
      </w:r>
      <w:r>
        <w:rPr>
          <w:rFonts w:ascii="Arial" w:hAnsi="Arial" w:cs="Arial"/>
        </w:rPr>
        <w:t>s</w:t>
      </w:r>
      <w:r w:rsidR="00B4271B" w:rsidRPr="00B4271B">
        <w:rPr>
          <w:rFonts w:ascii="Arial" w:hAnsi="Arial" w:cs="Arial"/>
        </w:rPr>
        <w:t xml:space="preserve"> </w:t>
      </w:r>
      <w:r w:rsidR="00B4271B">
        <w:rPr>
          <w:rFonts w:ascii="Arial" w:hAnsi="Arial" w:cs="Arial"/>
        </w:rPr>
        <w:t xml:space="preserve">(such as </w:t>
      </w:r>
      <w:r w:rsidR="005B44E5">
        <w:rPr>
          <w:rFonts w:ascii="Arial" w:hAnsi="Arial" w:cs="Arial"/>
        </w:rPr>
        <w:t xml:space="preserve">the </w:t>
      </w:r>
      <w:r w:rsidR="00B4271B">
        <w:rPr>
          <w:rFonts w:ascii="Arial" w:hAnsi="Arial" w:cs="Arial"/>
        </w:rPr>
        <w:t>cost of maintaining flood defence, or persons with no recourse to public funds)</w:t>
      </w:r>
      <w:r w:rsidR="00B4271B" w:rsidRPr="00B4271B">
        <w:rPr>
          <w:rFonts w:ascii="Arial" w:hAnsi="Arial" w:cs="Arial"/>
        </w:rPr>
        <w:t xml:space="preserve"> should be dealt with outside of th</w:t>
      </w:r>
      <w:r w:rsidR="00B4271B">
        <w:rPr>
          <w:rFonts w:ascii="Arial" w:hAnsi="Arial" w:cs="Arial"/>
        </w:rPr>
        <w:t>e Fair Funding Review</w:t>
      </w:r>
      <w:r w:rsidR="00B4271B" w:rsidRPr="00B4271B">
        <w:rPr>
          <w:rFonts w:ascii="Arial" w:hAnsi="Arial" w:cs="Arial"/>
        </w:rPr>
        <w:t>, with the Government providing specific funding on a case-by-case basis.</w:t>
      </w:r>
    </w:p>
    <w:p w14:paraId="51FF24E7" w14:textId="77777777" w:rsidR="00B4271B" w:rsidRPr="00B4271B" w:rsidRDefault="00B4271B" w:rsidP="002A1A03">
      <w:pPr>
        <w:pStyle w:val="ListParagraph"/>
        <w:rPr>
          <w:rFonts w:ascii="Arial" w:hAnsi="Arial" w:cs="Arial"/>
        </w:rPr>
      </w:pPr>
    </w:p>
    <w:p w14:paraId="1477570C" w14:textId="38E8815B" w:rsidR="00B4271B" w:rsidRPr="00B4271B" w:rsidRDefault="004F61B6" w:rsidP="002A1A03">
      <w:pPr>
        <w:pStyle w:val="ListParagraph"/>
        <w:numPr>
          <w:ilvl w:val="1"/>
          <w:numId w:val="1"/>
        </w:numPr>
        <w:rPr>
          <w:rFonts w:ascii="Arial" w:hAnsi="Arial" w:cs="Arial"/>
          <w:szCs w:val="22"/>
        </w:rPr>
      </w:pPr>
      <w:r>
        <w:rPr>
          <w:rFonts w:ascii="Arial" w:hAnsi="Arial" w:cs="Arial"/>
        </w:rPr>
        <w:t>W</w:t>
      </w:r>
      <w:r w:rsidR="00B4271B" w:rsidRPr="00B4271B">
        <w:rPr>
          <w:rFonts w:ascii="Arial" w:hAnsi="Arial" w:cs="Arial"/>
        </w:rPr>
        <w:t xml:space="preserve">e support </w:t>
      </w:r>
      <w:r w:rsidR="005B44E5">
        <w:rPr>
          <w:rFonts w:ascii="Arial" w:hAnsi="Arial" w:cs="Arial"/>
        </w:rPr>
        <w:t xml:space="preserve">using the </w:t>
      </w:r>
      <w:r w:rsidR="005B44E5" w:rsidRPr="00B4271B">
        <w:rPr>
          <w:rFonts w:ascii="Arial" w:hAnsi="Arial" w:cs="Arial"/>
        </w:rPr>
        <w:t xml:space="preserve">expertise of </w:t>
      </w:r>
      <w:r w:rsidR="005B44E5">
        <w:rPr>
          <w:rFonts w:ascii="Arial" w:hAnsi="Arial" w:cs="Arial"/>
        </w:rPr>
        <w:t xml:space="preserve">a representative group of </w:t>
      </w:r>
      <w:r w:rsidR="005B44E5" w:rsidRPr="00B4271B">
        <w:rPr>
          <w:rFonts w:ascii="Arial" w:hAnsi="Arial" w:cs="Arial"/>
        </w:rPr>
        <w:t>finance officers and service directors</w:t>
      </w:r>
      <w:r w:rsidR="005B44E5">
        <w:rPr>
          <w:rFonts w:ascii="Arial" w:hAnsi="Arial" w:cs="Arial"/>
        </w:rPr>
        <w:t xml:space="preserve"> to</w:t>
      </w:r>
      <w:r w:rsidR="00B4271B" w:rsidRPr="00B4271B">
        <w:rPr>
          <w:rFonts w:ascii="Arial" w:hAnsi="Arial" w:cs="Arial"/>
        </w:rPr>
        <w:t xml:space="preserve"> ‘sense check stage’ </w:t>
      </w:r>
      <w:r w:rsidR="005B44E5">
        <w:rPr>
          <w:rFonts w:ascii="Arial" w:hAnsi="Arial" w:cs="Arial"/>
        </w:rPr>
        <w:t xml:space="preserve">the results </w:t>
      </w:r>
      <w:r w:rsidR="00CF288A">
        <w:rPr>
          <w:rFonts w:ascii="Arial" w:hAnsi="Arial" w:cs="Arial"/>
        </w:rPr>
        <w:t>of any statistical analysis</w:t>
      </w:r>
      <w:r w:rsidR="00B4271B" w:rsidRPr="00B4271B">
        <w:rPr>
          <w:rFonts w:ascii="Arial" w:hAnsi="Arial" w:cs="Arial"/>
        </w:rPr>
        <w:t>.</w:t>
      </w:r>
    </w:p>
    <w:p w14:paraId="2E13A014" w14:textId="77777777" w:rsidR="00B4271B" w:rsidRPr="00B4271B" w:rsidRDefault="00B4271B" w:rsidP="002A1A03">
      <w:pPr>
        <w:pStyle w:val="ListParagraph"/>
        <w:rPr>
          <w:rFonts w:ascii="Arial" w:hAnsi="Arial" w:cs="Arial"/>
          <w:szCs w:val="22"/>
        </w:rPr>
      </w:pPr>
    </w:p>
    <w:p w14:paraId="01853766" w14:textId="56CD5947" w:rsidR="00F83D41" w:rsidRPr="00771886" w:rsidRDefault="000A6C09" w:rsidP="00771886">
      <w:pPr>
        <w:pStyle w:val="ListParagraph"/>
        <w:numPr>
          <w:ilvl w:val="0"/>
          <w:numId w:val="1"/>
        </w:numPr>
        <w:rPr>
          <w:rFonts w:ascii="Arial" w:hAnsi="Arial" w:cs="Arial"/>
          <w:szCs w:val="22"/>
        </w:rPr>
      </w:pPr>
      <w:r w:rsidRPr="00771886">
        <w:rPr>
          <w:rFonts w:ascii="Arial" w:hAnsi="Arial" w:cs="Arial"/>
        </w:rPr>
        <w:t xml:space="preserve">As part of the consultation process, LGA officers organised a series of regional events in partnership with MHCLG officials. Over 200 delegates attended the six events and their views have been fed into the consultation process directly. </w:t>
      </w:r>
    </w:p>
    <w:p w14:paraId="1EF02298" w14:textId="77777777" w:rsidR="000A6C09" w:rsidRPr="000A6C09" w:rsidRDefault="000A6C09" w:rsidP="002A1A03">
      <w:pPr>
        <w:pStyle w:val="ListParagraph"/>
        <w:ind w:left="360"/>
        <w:contextualSpacing/>
        <w:rPr>
          <w:rFonts w:ascii="Arial" w:hAnsi="Arial" w:cs="Arial"/>
          <w:szCs w:val="22"/>
        </w:rPr>
      </w:pPr>
    </w:p>
    <w:p w14:paraId="7017D24C" w14:textId="3E873AD5" w:rsidR="00F83D41" w:rsidRPr="002048CA" w:rsidRDefault="00F83D41" w:rsidP="002A1A03">
      <w:pPr>
        <w:pStyle w:val="ListParagraph"/>
        <w:numPr>
          <w:ilvl w:val="0"/>
          <w:numId w:val="1"/>
        </w:numPr>
        <w:contextualSpacing/>
        <w:rPr>
          <w:rStyle w:val="Hyperlink"/>
          <w:rFonts w:ascii="Arial" w:hAnsi="Arial" w:cs="Arial"/>
          <w:color w:val="auto"/>
          <w:u w:val="none"/>
        </w:rPr>
      </w:pPr>
      <w:r w:rsidRPr="0B50786C">
        <w:rPr>
          <w:rFonts w:ascii="Arial" w:hAnsi="Arial" w:cs="Arial"/>
        </w:rPr>
        <w:t xml:space="preserve">The </w:t>
      </w:r>
      <w:r w:rsidR="00363AAD">
        <w:rPr>
          <w:rFonts w:ascii="Arial" w:hAnsi="Arial" w:cs="Arial"/>
        </w:rPr>
        <w:t xml:space="preserve">officer-led Fair Funding Review Technical Working Group met on 28 March. It discussed the </w:t>
      </w:r>
      <w:r w:rsidR="00295764">
        <w:rPr>
          <w:rFonts w:ascii="Arial" w:hAnsi="Arial" w:cs="Arial"/>
        </w:rPr>
        <w:t xml:space="preserve">potential </w:t>
      </w:r>
      <w:r w:rsidR="00363AAD">
        <w:rPr>
          <w:rFonts w:ascii="Arial" w:hAnsi="Arial" w:cs="Arial"/>
        </w:rPr>
        <w:t xml:space="preserve">treatment of </w:t>
      </w:r>
      <w:r w:rsidR="00F973C4">
        <w:rPr>
          <w:rFonts w:ascii="Arial" w:hAnsi="Arial" w:cs="Arial"/>
        </w:rPr>
        <w:t xml:space="preserve">council tax </w:t>
      </w:r>
      <w:r w:rsidR="00771886">
        <w:rPr>
          <w:rFonts w:ascii="Arial" w:hAnsi="Arial" w:cs="Arial"/>
        </w:rPr>
        <w:t>and</w:t>
      </w:r>
      <w:r w:rsidR="00363AAD">
        <w:rPr>
          <w:rFonts w:ascii="Arial" w:hAnsi="Arial" w:cs="Arial"/>
        </w:rPr>
        <w:t xml:space="preserve"> a specific adult social care relative needs formula. Papers are available on </w:t>
      </w:r>
      <w:hyperlink r:id="rId22" w:history="1">
        <w:r w:rsidR="00363AAD" w:rsidRPr="00363AAD">
          <w:rPr>
            <w:rStyle w:val="Hyperlink"/>
            <w:rFonts w:ascii="Arial" w:hAnsi="Arial" w:cs="Arial"/>
          </w:rPr>
          <w:t>the LGA business rates hub</w:t>
        </w:r>
      </w:hyperlink>
      <w:r w:rsidR="00363AAD">
        <w:rPr>
          <w:rFonts w:ascii="Arial" w:hAnsi="Arial" w:cs="Arial"/>
        </w:rPr>
        <w:t>.</w:t>
      </w:r>
    </w:p>
    <w:p w14:paraId="2C453CB8" w14:textId="6F91D200" w:rsidR="00F83D41" w:rsidRDefault="00F83D41" w:rsidP="002A1A03">
      <w:pPr>
        <w:rPr>
          <w:rFonts w:ascii="Arial" w:hAnsi="Arial" w:cs="Arial"/>
          <w:b/>
          <w:szCs w:val="22"/>
        </w:rPr>
      </w:pPr>
    </w:p>
    <w:p w14:paraId="528B9D17" w14:textId="1C0B0F7F" w:rsidR="00766459" w:rsidRDefault="00766459" w:rsidP="002A1A03">
      <w:pPr>
        <w:rPr>
          <w:rFonts w:ascii="Arial" w:hAnsi="Arial" w:cs="Arial"/>
          <w:b/>
          <w:bCs/>
        </w:rPr>
      </w:pPr>
      <w:r>
        <w:rPr>
          <w:rFonts w:ascii="Arial" w:hAnsi="Arial" w:cs="Arial"/>
          <w:b/>
          <w:bCs/>
        </w:rPr>
        <w:t>Business rates retention</w:t>
      </w:r>
    </w:p>
    <w:p w14:paraId="2B4D777D" w14:textId="77777777" w:rsidR="00A0584A" w:rsidRDefault="00A0584A" w:rsidP="002A1A03">
      <w:pPr>
        <w:rPr>
          <w:rFonts w:ascii="Arial" w:hAnsi="Arial" w:cs="Arial"/>
          <w:b/>
          <w:bCs/>
        </w:rPr>
      </w:pPr>
    </w:p>
    <w:p w14:paraId="11ADB76B" w14:textId="4AB74DD5" w:rsidR="001D63BC" w:rsidRPr="00C02C90" w:rsidRDefault="001D63BC" w:rsidP="002A1A03">
      <w:pPr>
        <w:numPr>
          <w:ilvl w:val="0"/>
          <w:numId w:val="1"/>
        </w:numPr>
      </w:pPr>
      <w:r w:rsidRPr="00C02C90">
        <w:t xml:space="preserve">The Secretary of State for Housing, Communities and Local Government published a </w:t>
      </w:r>
      <w:hyperlink r:id="rId23" w:history="1">
        <w:r w:rsidRPr="00C02C90">
          <w:rPr>
            <w:rStyle w:val="Hyperlink"/>
          </w:rPr>
          <w:t>Written Ministerial Statement</w:t>
        </w:r>
      </w:hyperlink>
      <w:r w:rsidRPr="00C02C90">
        <w:t xml:space="preserve"> setting out an error made in calculating the size of the allocations of the specific grant to compensate </w:t>
      </w:r>
      <w:r w:rsidR="008615D5" w:rsidRPr="00C02C90">
        <w:t xml:space="preserve">local authorities </w:t>
      </w:r>
      <w:r w:rsidRPr="00C02C90">
        <w:t xml:space="preserve">for </w:t>
      </w:r>
      <w:r w:rsidR="008615D5" w:rsidRPr="00C02C90">
        <w:t>caps of</w:t>
      </w:r>
      <w:r w:rsidRPr="00C02C90">
        <w:t xml:space="preserve"> the business rates multiplier. This affects </w:t>
      </w:r>
      <w:r w:rsidR="008615D5" w:rsidRPr="00C02C90">
        <w:t xml:space="preserve">2017/18 and 2018/19 business rate retention pilot </w:t>
      </w:r>
      <w:r w:rsidRPr="00C02C90">
        <w:t>authorities.</w:t>
      </w:r>
    </w:p>
    <w:p w14:paraId="50624F53" w14:textId="77777777" w:rsidR="001D63BC" w:rsidRPr="00C02C90" w:rsidRDefault="001D63BC" w:rsidP="002A1A03"/>
    <w:p w14:paraId="563A13C4" w14:textId="5C94E521" w:rsidR="001D63BC" w:rsidRPr="00C02C90" w:rsidRDefault="001D63BC" w:rsidP="002A1A03">
      <w:pPr>
        <w:pStyle w:val="ListParagraph"/>
        <w:numPr>
          <w:ilvl w:val="0"/>
          <w:numId w:val="1"/>
        </w:numPr>
        <w:rPr>
          <w:rFonts w:ascii="Arial" w:hAnsi="Arial" w:cs="Arial"/>
        </w:rPr>
      </w:pPr>
      <w:r w:rsidRPr="00C02C90">
        <w:t xml:space="preserve">The </w:t>
      </w:r>
      <w:r w:rsidR="00BA51AA" w:rsidRPr="00C02C90">
        <w:t xml:space="preserve">2017/18 pilot </w:t>
      </w:r>
      <w:r w:rsidRPr="00C02C90">
        <w:t>authorities received £36 million more in compensation in 2017/18 than they should have under the correct methodology. The Government has confirmed it will not be seeking to claw back the extra funding</w:t>
      </w:r>
      <w:r w:rsidR="004D2119" w:rsidRPr="00C02C90">
        <w:t xml:space="preserve"> for 2017/18. However, adjustments will be made to funding for pilot areas for 2018/19. </w:t>
      </w:r>
    </w:p>
    <w:p w14:paraId="79CBCCEC" w14:textId="77777777" w:rsidR="001D63BC" w:rsidRPr="001D63BC" w:rsidRDefault="001D63BC" w:rsidP="002A1A03">
      <w:pPr>
        <w:rPr>
          <w:rFonts w:ascii="Arial" w:hAnsi="Arial" w:cs="Arial"/>
        </w:rPr>
      </w:pPr>
    </w:p>
    <w:p w14:paraId="3664402F" w14:textId="22FF75D3" w:rsidR="00C10E51" w:rsidRPr="00C10E51" w:rsidRDefault="00C10E51" w:rsidP="006675C2">
      <w:pPr>
        <w:pStyle w:val="ListParagraph"/>
        <w:numPr>
          <w:ilvl w:val="0"/>
          <w:numId w:val="1"/>
        </w:numPr>
        <w:spacing w:after="240"/>
        <w:ind w:left="357" w:hanging="357"/>
        <w:rPr>
          <w:rFonts w:ascii="Arial" w:hAnsi="Arial" w:cs="Arial"/>
        </w:rPr>
      </w:pPr>
      <w:r w:rsidRPr="00C10E51">
        <w:rPr>
          <w:rFonts w:ascii="Arial" w:hAnsi="Arial" w:cs="Arial"/>
        </w:rPr>
        <w:t>Work on</w:t>
      </w:r>
      <w:r w:rsidR="00A0584A" w:rsidRPr="00C10E51">
        <w:rPr>
          <w:rFonts w:ascii="Arial" w:hAnsi="Arial" w:cs="Arial"/>
        </w:rPr>
        <w:t xml:space="preserve"> the introduction of 75 per cent business rates retention in April 2020</w:t>
      </w:r>
      <w:r w:rsidRPr="00C10E51">
        <w:rPr>
          <w:rFonts w:ascii="Arial" w:hAnsi="Arial" w:cs="Arial"/>
        </w:rPr>
        <w:t xml:space="preserve"> is now well underway in the officer level </w:t>
      </w:r>
      <w:r w:rsidR="00A0584A" w:rsidRPr="00C10E51">
        <w:rPr>
          <w:rFonts w:ascii="Arial" w:hAnsi="Arial" w:cs="Arial"/>
        </w:rPr>
        <w:t>Steering Group</w:t>
      </w:r>
      <w:r w:rsidRPr="00C10E51">
        <w:rPr>
          <w:rFonts w:ascii="Arial" w:hAnsi="Arial" w:cs="Arial"/>
        </w:rPr>
        <w:t xml:space="preserve"> and</w:t>
      </w:r>
      <w:r w:rsidR="00A0584A" w:rsidRPr="00C10E51">
        <w:rPr>
          <w:rFonts w:ascii="Arial" w:hAnsi="Arial" w:cs="Arial"/>
        </w:rPr>
        <w:t xml:space="preserve"> Systems Design Working Group</w:t>
      </w:r>
      <w:r w:rsidRPr="00C10E51">
        <w:rPr>
          <w:rFonts w:ascii="Arial" w:hAnsi="Arial" w:cs="Arial"/>
        </w:rPr>
        <w:t xml:space="preserve">. </w:t>
      </w:r>
      <w:r w:rsidR="00A0584A" w:rsidRPr="00C10E51">
        <w:rPr>
          <w:rFonts w:ascii="Arial" w:hAnsi="Arial" w:cs="Arial"/>
        </w:rPr>
        <w:t xml:space="preserve"> </w:t>
      </w:r>
      <w:r w:rsidRPr="00947EE9">
        <w:rPr>
          <w:rFonts w:ascii="Arial" w:hAnsi="Arial" w:cs="Arial"/>
        </w:rPr>
        <w:t>Two substantive issues have so far be</w:t>
      </w:r>
      <w:r w:rsidRPr="00C10E51">
        <w:rPr>
          <w:rFonts w:ascii="Arial" w:hAnsi="Arial" w:cs="Arial"/>
        </w:rPr>
        <w:t>en considered:</w:t>
      </w:r>
    </w:p>
    <w:p w14:paraId="1F9433F4" w14:textId="61646AFD" w:rsidR="00C10E51" w:rsidRDefault="00C10E51" w:rsidP="00CF288A">
      <w:pPr>
        <w:pStyle w:val="ListParagraph"/>
        <w:numPr>
          <w:ilvl w:val="1"/>
          <w:numId w:val="1"/>
        </w:numPr>
        <w:spacing w:after="240"/>
        <w:ind w:left="851" w:hanging="494"/>
        <w:rPr>
          <w:rFonts w:ascii="Arial" w:hAnsi="Arial" w:cs="Arial"/>
        </w:rPr>
      </w:pPr>
      <w:r>
        <w:rPr>
          <w:rFonts w:ascii="Arial" w:hAnsi="Arial" w:cs="Arial"/>
        </w:rPr>
        <w:t xml:space="preserve">Which properties should be included on the </w:t>
      </w:r>
      <w:r w:rsidR="00A0584A" w:rsidRPr="00C10E51">
        <w:rPr>
          <w:rFonts w:ascii="Arial" w:hAnsi="Arial" w:cs="Arial"/>
        </w:rPr>
        <w:t>central rating list</w:t>
      </w:r>
      <w:r>
        <w:rPr>
          <w:rFonts w:ascii="Arial" w:hAnsi="Arial" w:cs="Arial"/>
        </w:rPr>
        <w:t xml:space="preserve"> </w:t>
      </w:r>
      <w:r w:rsidR="00A0584A" w:rsidRPr="00C10E51">
        <w:rPr>
          <w:rFonts w:ascii="Arial" w:hAnsi="Arial" w:cs="Arial"/>
        </w:rPr>
        <w:t xml:space="preserve">which, due to their nature, are not suitable for being assessed on the local rating list. </w:t>
      </w:r>
      <w:r w:rsidR="00A0584A" w:rsidRPr="006675C2">
        <w:rPr>
          <w:rFonts w:ascii="Arial" w:hAnsi="Arial" w:cs="Arial"/>
        </w:rPr>
        <w:t>MHCLG will develop criteria which can be used to determine what properties should be on the central list and what should be on the local lists</w:t>
      </w:r>
      <w:r w:rsidR="00D063AE">
        <w:rPr>
          <w:rFonts w:ascii="Arial" w:hAnsi="Arial" w:cs="Arial"/>
        </w:rPr>
        <w:t>.</w:t>
      </w:r>
      <w:r w:rsidR="009A452F">
        <w:rPr>
          <w:rFonts w:ascii="Arial" w:hAnsi="Arial" w:cs="Arial"/>
        </w:rPr>
        <w:t xml:space="preserve"> </w:t>
      </w:r>
      <w:r w:rsidR="00A0584A" w:rsidRPr="006675C2">
        <w:rPr>
          <w:rFonts w:ascii="Arial" w:hAnsi="Arial" w:cs="Arial"/>
        </w:rPr>
        <w:t xml:space="preserve">There will be a consultation on the </w:t>
      </w:r>
      <w:r>
        <w:rPr>
          <w:rFonts w:ascii="Arial" w:hAnsi="Arial" w:cs="Arial"/>
        </w:rPr>
        <w:t>properties</w:t>
      </w:r>
      <w:r w:rsidRPr="006675C2">
        <w:rPr>
          <w:rFonts w:ascii="Arial" w:hAnsi="Arial" w:cs="Arial"/>
        </w:rPr>
        <w:t xml:space="preserve"> </w:t>
      </w:r>
      <w:r w:rsidR="00A0584A" w:rsidRPr="006675C2">
        <w:rPr>
          <w:rFonts w:ascii="Arial" w:hAnsi="Arial" w:cs="Arial"/>
        </w:rPr>
        <w:t xml:space="preserve">to be moved in spring 2019. </w:t>
      </w:r>
    </w:p>
    <w:p w14:paraId="2A738BD4" w14:textId="30DC86EF" w:rsidR="00A0584A" w:rsidRDefault="00C10E51" w:rsidP="00CF288A">
      <w:pPr>
        <w:pStyle w:val="ListParagraph"/>
        <w:numPr>
          <w:ilvl w:val="1"/>
          <w:numId w:val="1"/>
        </w:numPr>
        <w:spacing w:after="240"/>
        <w:ind w:left="851" w:hanging="494"/>
        <w:rPr>
          <w:rFonts w:ascii="Arial" w:hAnsi="Arial" w:cs="Arial"/>
        </w:rPr>
      </w:pPr>
      <w:r>
        <w:rPr>
          <w:rFonts w:ascii="Arial" w:hAnsi="Arial" w:cs="Arial"/>
        </w:rPr>
        <w:t>R</w:t>
      </w:r>
      <w:r w:rsidRPr="00C10E51">
        <w:rPr>
          <w:rFonts w:ascii="Arial" w:hAnsi="Arial" w:cs="Arial"/>
        </w:rPr>
        <w:t>eform of the tier split, safety net and levy mechanisms</w:t>
      </w:r>
      <w:r w:rsidR="00BA51AA">
        <w:rPr>
          <w:rFonts w:ascii="Arial" w:hAnsi="Arial" w:cs="Arial"/>
        </w:rPr>
        <w:t xml:space="preserve">.  </w:t>
      </w:r>
      <w:r w:rsidR="00947EE9">
        <w:t xml:space="preserve">MCHLG will </w:t>
      </w:r>
      <w:r w:rsidR="009E4C3B" w:rsidRPr="00E65974">
        <w:rPr>
          <w:rFonts w:ascii="Arial" w:hAnsi="Arial" w:cs="Arial"/>
        </w:rPr>
        <w:t>work directly with the C</w:t>
      </w:r>
      <w:r w:rsidR="00BA51AA">
        <w:rPr>
          <w:rFonts w:ascii="Arial" w:hAnsi="Arial" w:cs="Arial"/>
        </w:rPr>
        <w:t xml:space="preserve">ounty </w:t>
      </w:r>
      <w:r w:rsidR="009E4C3B" w:rsidRPr="00E65974">
        <w:rPr>
          <w:rFonts w:ascii="Arial" w:hAnsi="Arial" w:cs="Arial"/>
        </w:rPr>
        <w:t>C</w:t>
      </w:r>
      <w:r w:rsidR="00BA51AA">
        <w:rPr>
          <w:rFonts w:ascii="Arial" w:hAnsi="Arial" w:cs="Arial"/>
        </w:rPr>
        <w:t xml:space="preserve">ouncil </w:t>
      </w:r>
      <w:r w:rsidR="009E4C3B" w:rsidRPr="00E65974">
        <w:rPr>
          <w:rFonts w:ascii="Arial" w:hAnsi="Arial" w:cs="Arial"/>
        </w:rPr>
        <w:t>N</w:t>
      </w:r>
      <w:r w:rsidR="00BA51AA">
        <w:rPr>
          <w:rFonts w:ascii="Arial" w:hAnsi="Arial" w:cs="Arial"/>
        </w:rPr>
        <w:t>etwork</w:t>
      </w:r>
      <w:r w:rsidR="009E4C3B" w:rsidRPr="00E65974">
        <w:rPr>
          <w:rFonts w:ascii="Arial" w:hAnsi="Arial" w:cs="Arial"/>
        </w:rPr>
        <w:t>, D</w:t>
      </w:r>
      <w:r w:rsidR="00BA51AA">
        <w:rPr>
          <w:rFonts w:ascii="Arial" w:hAnsi="Arial" w:cs="Arial"/>
        </w:rPr>
        <w:t xml:space="preserve">istrict </w:t>
      </w:r>
      <w:r w:rsidR="009E4C3B" w:rsidRPr="00E65974">
        <w:rPr>
          <w:rFonts w:ascii="Arial" w:hAnsi="Arial" w:cs="Arial"/>
        </w:rPr>
        <w:t>C</w:t>
      </w:r>
      <w:r w:rsidR="00BA51AA">
        <w:rPr>
          <w:rFonts w:ascii="Arial" w:hAnsi="Arial" w:cs="Arial"/>
        </w:rPr>
        <w:t xml:space="preserve">ouncil </w:t>
      </w:r>
      <w:r w:rsidR="009E4C3B" w:rsidRPr="00E65974">
        <w:rPr>
          <w:rFonts w:ascii="Arial" w:hAnsi="Arial" w:cs="Arial"/>
        </w:rPr>
        <w:t>N</w:t>
      </w:r>
      <w:r w:rsidR="00BA51AA">
        <w:rPr>
          <w:rFonts w:ascii="Arial" w:hAnsi="Arial" w:cs="Arial"/>
        </w:rPr>
        <w:t>etwork</w:t>
      </w:r>
      <w:r w:rsidR="009E4C3B" w:rsidRPr="00E65974">
        <w:rPr>
          <w:rFonts w:ascii="Arial" w:hAnsi="Arial" w:cs="Arial"/>
        </w:rPr>
        <w:t xml:space="preserve"> and county and district treasurer associations, on developing a proposal for tier split</w:t>
      </w:r>
      <w:r w:rsidR="00BA51AA">
        <w:rPr>
          <w:rFonts w:ascii="Arial" w:hAnsi="Arial" w:cs="Arial"/>
        </w:rPr>
        <w:t>s</w:t>
      </w:r>
      <w:r w:rsidR="009E4C3B" w:rsidRPr="00E65974">
        <w:rPr>
          <w:rFonts w:ascii="Arial" w:hAnsi="Arial" w:cs="Arial"/>
        </w:rPr>
        <w:t xml:space="preserve"> for consideration by the </w:t>
      </w:r>
      <w:r w:rsidR="00947EE9">
        <w:rPr>
          <w:rFonts w:ascii="Arial" w:hAnsi="Arial" w:cs="Arial"/>
        </w:rPr>
        <w:t xml:space="preserve">Systems Design </w:t>
      </w:r>
      <w:r w:rsidR="009E4C3B" w:rsidRPr="00E65974">
        <w:rPr>
          <w:rFonts w:ascii="Arial" w:hAnsi="Arial" w:cs="Arial"/>
        </w:rPr>
        <w:t xml:space="preserve">Working Group and </w:t>
      </w:r>
      <w:r w:rsidR="00947EE9">
        <w:rPr>
          <w:rFonts w:ascii="Arial" w:hAnsi="Arial" w:cs="Arial"/>
        </w:rPr>
        <w:t xml:space="preserve">the </w:t>
      </w:r>
      <w:r w:rsidR="009E4C3B" w:rsidRPr="00E65974">
        <w:rPr>
          <w:rFonts w:ascii="Arial" w:hAnsi="Arial" w:cs="Arial"/>
        </w:rPr>
        <w:t>Steering Group.</w:t>
      </w:r>
    </w:p>
    <w:p w14:paraId="08A5247A" w14:textId="173149FB" w:rsidR="00A0584A" w:rsidRDefault="00A0584A" w:rsidP="002A1A03">
      <w:pPr>
        <w:pStyle w:val="ListParagraph"/>
        <w:numPr>
          <w:ilvl w:val="0"/>
          <w:numId w:val="1"/>
        </w:numPr>
        <w:rPr>
          <w:rFonts w:ascii="Arial" w:hAnsi="Arial" w:cs="Arial"/>
        </w:rPr>
      </w:pPr>
      <w:r w:rsidRPr="00A0584A">
        <w:rPr>
          <w:rFonts w:ascii="Arial" w:hAnsi="Arial" w:cs="Arial"/>
        </w:rPr>
        <w:t>Further discussions at the Systems Design Working Group leading up to a consultation paper in September 2018 will concern appeals and loss payments, resets, measuring growth and revaluation, transitional arrangements and pooling.</w:t>
      </w:r>
    </w:p>
    <w:p w14:paraId="37CEA270" w14:textId="77777777" w:rsidR="00CA60EE" w:rsidRDefault="00CA60EE" w:rsidP="002A1A03">
      <w:pPr>
        <w:pStyle w:val="ListParagraph"/>
        <w:ind w:left="360"/>
        <w:rPr>
          <w:rFonts w:ascii="Arial" w:hAnsi="Arial" w:cs="Arial"/>
        </w:rPr>
      </w:pPr>
    </w:p>
    <w:p w14:paraId="3454AEA9" w14:textId="3612598E" w:rsidR="00CA60EE" w:rsidRDefault="00CA60EE" w:rsidP="002A1A03">
      <w:pPr>
        <w:pStyle w:val="ListParagraph"/>
        <w:numPr>
          <w:ilvl w:val="0"/>
          <w:numId w:val="1"/>
        </w:numPr>
        <w:rPr>
          <w:rFonts w:ascii="Arial" w:hAnsi="Arial" w:cs="Arial"/>
        </w:rPr>
      </w:pPr>
      <w:r>
        <w:rPr>
          <w:rFonts w:ascii="Arial" w:hAnsi="Arial" w:cs="Arial"/>
        </w:rPr>
        <w:t xml:space="preserve">The Steering Group </w:t>
      </w:r>
      <w:r w:rsidR="00947EE9">
        <w:rPr>
          <w:rFonts w:ascii="Arial" w:hAnsi="Arial" w:cs="Arial"/>
        </w:rPr>
        <w:t xml:space="preserve">has </w:t>
      </w:r>
      <w:r>
        <w:rPr>
          <w:rFonts w:ascii="Arial" w:hAnsi="Arial" w:cs="Arial"/>
        </w:rPr>
        <w:t>also considered a tabled paper from M</w:t>
      </w:r>
      <w:r w:rsidR="00CF288A">
        <w:rPr>
          <w:rFonts w:ascii="Arial" w:hAnsi="Arial" w:cs="Arial"/>
        </w:rPr>
        <w:t xml:space="preserve">inistry for </w:t>
      </w:r>
      <w:r>
        <w:rPr>
          <w:rFonts w:ascii="Arial" w:hAnsi="Arial" w:cs="Arial"/>
        </w:rPr>
        <w:t>H</w:t>
      </w:r>
      <w:r w:rsidR="00CF288A">
        <w:rPr>
          <w:rFonts w:ascii="Arial" w:hAnsi="Arial" w:cs="Arial"/>
        </w:rPr>
        <w:t xml:space="preserve">ousing, </w:t>
      </w:r>
      <w:r>
        <w:rPr>
          <w:rFonts w:ascii="Arial" w:hAnsi="Arial" w:cs="Arial"/>
        </w:rPr>
        <w:t>C</w:t>
      </w:r>
      <w:r w:rsidR="00CF288A">
        <w:rPr>
          <w:rFonts w:ascii="Arial" w:hAnsi="Arial" w:cs="Arial"/>
        </w:rPr>
        <w:t xml:space="preserve">ommunities and </w:t>
      </w:r>
      <w:r>
        <w:rPr>
          <w:rFonts w:ascii="Arial" w:hAnsi="Arial" w:cs="Arial"/>
        </w:rPr>
        <w:t>L</w:t>
      </w:r>
      <w:r w:rsidR="00CF288A">
        <w:rPr>
          <w:rFonts w:ascii="Arial" w:hAnsi="Arial" w:cs="Arial"/>
        </w:rPr>
        <w:t xml:space="preserve">ocal </w:t>
      </w:r>
      <w:r>
        <w:rPr>
          <w:rFonts w:ascii="Arial" w:hAnsi="Arial" w:cs="Arial"/>
        </w:rPr>
        <w:t>G</w:t>
      </w:r>
      <w:r w:rsidR="00CF288A">
        <w:rPr>
          <w:rFonts w:ascii="Arial" w:hAnsi="Arial" w:cs="Arial"/>
        </w:rPr>
        <w:t>overnment (MHCLG)</w:t>
      </w:r>
      <w:r>
        <w:rPr>
          <w:rFonts w:ascii="Arial" w:hAnsi="Arial" w:cs="Arial"/>
        </w:rPr>
        <w:t xml:space="preserve"> on retained growth for 2018/19.  MHCLG were asked to provide further information on the effect of pools and on previous years.</w:t>
      </w:r>
    </w:p>
    <w:p w14:paraId="6C7122CE" w14:textId="77777777" w:rsidR="00A0584A" w:rsidRPr="00A0584A" w:rsidRDefault="00A0584A" w:rsidP="002A1A03">
      <w:pPr>
        <w:pStyle w:val="ListParagraph"/>
        <w:rPr>
          <w:rFonts w:ascii="Arial" w:hAnsi="Arial" w:cs="Arial"/>
        </w:rPr>
      </w:pPr>
    </w:p>
    <w:p w14:paraId="42751CFC" w14:textId="5AF33EFC" w:rsidR="00A0584A" w:rsidRPr="00A0584A" w:rsidRDefault="00A0584A" w:rsidP="002A1A03">
      <w:pPr>
        <w:pStyle w:val="ListParagraph"/>
        <w:numPr>
          <w:ilvl w:val="0"/>
          <w:numId w:val="1"/>
        </w:numPr>
        <w:rPr>
          <w:rFonts w:ascii="Arial" w:hAnsi="Arial" w:cs="Arial"/>
        </w:rPr>
      </w:pPr>
      <w:r w:rsidRPr="00A0584A">
        <w:rPr>
          <w:rFonts w:ascii="Arial" w:hAnsi="Arial" w:cs="Arial"/>
        </w:rPr>
        <w:t>Following the approval of 10 new pilots for 2018/19, MHCLG is expected to invite applications for pilot status in 2019/20. At this stage it is not known what criteria will be used for assessment.</w:t>
      </w:r>
    </w:p>
    <w:p w14:paraId="3A034FC2" w14:textId="77777777" w:rsidR="000F6B8E" w:rsidRDefault="000F6B8E" w:rsidP="002A1A03">
      <w:pPr>
        <w:rPr>
          <w:rFonts w:ascii="Arial" w:hAnsi="Arial" w:cs="Arial"/>
          <w:b/>
          <w:bCs/>
        </w:rPr>
      </w:pPr>
    </w:p>
    <w:p w14:paraId="38F64CD5" w14:textId="08A4E516" w:rsidR="000F6B8E" w:rsidRDefault="00AD7C22" w:rsidP="002A1A03">
      <w:pPr>
        <w:rPr>
          <w:rFonts w:ascii="Arial" w:hAnsi="Arial" w:cs="Arial"/>
          <w:b/>
          <w:bCs/>
        </w:rPr>
      </w:pPr>
      <w:r>
        <w:rPr>
          <w:rFonts w:ascii="Arial" w:hAnsi="Arial" w:cs="Arial"/>
          <w:b/>
          <w:bCs/>
        </w:rPr>
        <w:t xml:space="preserve">Guidance </w:t>
      </w:r>
      <w:r w:rsidRPr="00A237EF">
        <w:rPr>
          <w:rFonts w:ascii="Arial" w:hAnsi="Arial" w:cs="Arial"/>
          <w:b/>
          <w:bCs/>
        </w:rPr>
        <w:t xml:space="preserve">on </w:t>
      </w:r>
      <w:hyperlink r:id="rId24" w:history="1">
        <w:r>
          <w:rPr>
            <w:rFonts w:ascii="Arial" w:hAnsi="Arial" w:cs="Arial"/>
            <w:b/>
            <w:bCs/>
          </w:rPr>
          <w:t>Local Government I</w:t>
        </w:r>
        <w:r w:rsidRPr="00A237EF">
          <w:rPr>
            <w:rFonts w:ascii="Arial" w:hAnsi="Arial" w:cs="Arial"/>
            <w:b/>
            <w:bCs/>
          </w:rPr>
          <w:t>nvestments</w:t>
        </w:r>
      </w:hyperlink>
      <w:r w:rsidRPr="00A237EF">
        <w:rPr>
          <w:rFonts w:ascii="Arial" w:hAnsi="Arial" w:cs="Arial"/>
          <w:b/>
          <w:bCs/>
        </w:rPr>
        <w:t xml:space="preserve"> and </w:t>
      </w:r>
      <w:hyperlink r:id="rId25" w:history="1">
        <w:r>
          <w:rPr>
            <w:rFonts w:ascii="Arial" w:hAnsi="Arial" w:cs="Arial"/>
            <w:b/>
            <w:bCs/>
          </w:rPr>
          <w:t>Minimum Revenue P</w:t>
        </w:r>
        <w:r w:rsidRPr="00A237EF">
          <w:rPr>
            <w:rFonts w:ascii="Arial" w:hAnsi="Arial" w:cs="Arial"/>
            <w:b/>
            <w:bCs/>
          </w:rPr>
          <w:t>rovision</w:t>
        </w:r>
      </w:hyperlink>
      <w:r>
        <w:rPr>
          <w:rFonts w:ascii="Arial" w:hAnsi="Arial" w:cs="Arial"/>
          <w:b/>
          <w:bCs/>
        </w:rPr>
        <w:t xml:space="preserve"> </w:t>
      </w:r>
    </w:p>
    <w:p w14:paraId="54C02563" w14:textId="77777777" w:rsidR="000F6B8E" w:rsidRPr="002048CA" w:rsidRDefault="000F6B8E" w:rsidP="002A1A03">
      <w:pPr>
        <w:rPr>
          <w:rFonts w:ascii="Arial" w:hAnsi="Arial" w:cs="Arial"/>
          <w:b/>
          <w:bCs/>
        </w:rPr>
      </w:pPr>
    </w:p>
    <w:p w14:paraId="318F4A49" w14:textId="23DB5B81" w:rsidR="006161B5" w:rsidRPr="006161B5" w:rsidRDefault="006161B5" w:rsidP="002A1A03">
      <w:pPr>
        <w:pStyle w:val="ListParagraph"/>
        <w:numPr>
          <w:ilvl w:val="0"/>
          <w:numId w:val="1"/>
        </w:numPr>
        <w:rPr>
          <w:rFonts w:ascii="Arial" w:hAnsi="Arial"/>
        </w:rPr>
      </w:pPr>
      <w:r>
        <w:t xml:space="preserve">In February the Government published updated statutory guidance on capital finance (on </w:t>
      </w:r>
      <w:hyperlink r:id="rId26" w:history="1">
        <w:r>
          <w:rPr>
            <w:rStyle w:val="Hyperlink"/>
          </w:rPr>
          <w:t>local government investments</w:t>
        </w:r>
      </w:hyperlink>
      <w:r>
        <w:t xml:space="preserve"> and on </w:t>
      </w:r>
      <w:hyperlink r:id="rId27" w:history="1">
        <w:r>
          <w:rPr>
            <w:rStyle w:val="Hyperlink"/>
          </w:rPr>
          <w:t>minimum revenue provision</w:t>
        </w:r>
      </w:hyperlink>
      <w:r>
        <w:t xml:space="preserve">).  The Government also published its </w:t>
      </w:r>
      <w:hyperlink r:id="rId28" w:history="1">
        <w:r>
          <w:rPr>
            <w:rStyle w:val="Hyperlink"/>
          </w:rPr>
          <w:t>response</w:t>
        </w:r>
      </w:hyperlink>
      <w:r>
        <w:t xml:space="preserve"> to the consultation on the proposed changes to this guidance. Resources Board members will recall that we submitted a response to the consultation, and the revised guidance takes account of a number of the points made, particularly with regard to the implementation date of the minimum revenue provisions guidance. </w:t>
      </w:r>
      <w:r w:rsidR="00BF1330">
        <w:t>The LGA pu</w:t>
      </w:r>
      <w:r w:rsidR="00A237EF">
        <w:t>b</w:t>
      </w:r>
      <w:r w:rsidR="00BF1330">
        <w:t xml:space="preserve">lished </w:t>
      </w:r>
      <w:r>
        <w:t xml:space="preserve">a short </w:t>
      </w:r>
      <w:hyperlink r:id="rId29" w:history="1">
        <w:r>
          <w:rPr>
            <w:rStyle w:val="Hyperlink"/>
          </w:rPr>
          <w:t>briefing</w:t>
        </w:r>
      </w:hyperlink>
      <w:r>
        <w:t xml:space="preserve"> on the main features of the new guidance to help councils understand the implications.</w:t>
      </w:r>
    </w:p>
    <w:p w14:paraId="1C576CB1" w14:textId="77777777" w:rsidR="000F6B8E" w:rsidRDefault="000F6B8E" w:rsidP="002A1A03">
      <w:pPr>
        <w:pStyle w:val="ListParagraph"/>
        <w:ind w:left="360"/>
        <w:contextualSpacing/>
        <w:rPr>
          <w:rFonts w:ascii="Arial" w:hAnsi="Arial" w:cs="Arial"/>
        </w:rPr>
      </w:pPr>
    </w:p>
    <w:p w14:paraId="20A63F8B" w14:textId="3AA1EF00" w:rsidR="000F6B8E" w:rsidRPr="006161B5" w:rsidRDefault="006161B5" w:rsidP="002A1A03">
      <w:pPr>
        <w:pStyle w:val="ListParagraph"/>
        <w:numPr>
          <w:ilvl w:val="0"/>
          <w:numId w:val="1"/>
        </w:numPr>
        <w:contextualSpacing/>
        <w:rPr>
          <w:rFonts w:ascii="Arial" w:hAnsi="Arial" w:cs="Arial"/>
        </w:rPr>
      </w:pPr>
      <w:r w:rsidRPr="000F6B8E">
        <w:rPr>
          <w:rFonts w:ascii="Arial" w:hAnsi="Arial" w:cs="Arial"/>
        </w:rPr>
        <w:t>Under the new guidance</w:t>
      </w:r>
      <w:r w:rsidR="00AD7C22">
        <w:rPr>
          <w:rFonts w:ascii="Arial" w:hAnsi="Arial" w:cs="Arial"/>
        </w:rPr>
        <w:t>,</w:t>
      </w:r>
      <w:r w:rsidRPr="000F6B8E">
        <w:rPr>
          <w:rFonts w:ascii="Arial" w:hAnsi="Arial" w:cs="Arial"/>
        </w:rPr>
        <w:t xml:space="preserve"> councils </w:t>
      </w:r>
      <w:r w:rsidR="007D25FA">
        <w:rPr>
          <w:rFonts w:ascii="Arial" w:hAnsi="Arial" w:cs="Arial"/>
        </w:rPr>
        <w:t>should not</w:t>
      </w:r>
      <w:r w:rsidRPr="000F6B8E">
        <w:rPr>
          <w:rFonts w:ascii="Arial" w:hAnsi="Arial" w:cs="Arial"/>
        </w:rPr>
        <w:t xml:space="preserve"> borrow to fund any investments, including property investments, that it makes solely to make a financial return, although it should be noted that councils need to “have regard” to the statutory guidance, and to the other parts of the prudential framework for capital finance (the </w:t>
      </w:r>
      <w:proofErr w:type="spellStart"/>
      <w:r w:rsidRPr="000F6B8E">
        <w:rPr>
          <w:rFonts w:ascii="Arial" w:hAnsi="Arial" w:cs="Arial"/>
        </w:rPr>
        <w:t>Cipfa</w:t>
      </w:r>
      <w:proofErr w:type="spellEnd"/>
      <w:r w:rsidRPr="000F6B8E">
        <w:rPr>
          <w:rFonts w:ascii="Arial" w:hAnsi="Arial" w:cs="Arial"/>
        </w:rPr>
        <w:t xml:space="preserve"> Prudential code and </w:t>
      </w:r>
      <w:proofErr w:type="spellStart"/>
      <w:r w:rsidRPr="000F6B8E">
        <w:rPr>
          <w:rFonts w:ascii="Arial" w:hAnsi="Arial" w:cs="Arial"/>
        </w:rPr>
        <w:t>Cipfa</w:t>
      </w:r>
      <w:proofErr w:type="spellEnd"/>
      <w:r w:rsidRPr="000F6B8E">
        <w:rPr>
          <w:rFonts w:ascii="Arial" w:hAnsi="Arial" w:cs="Arial"/>
        </w:rPr>
        <w:t xml:space="preserve"> Treasury Management code). If councils then choose not to follow the guidance they will need to justify this</w:t>
      </w:r>
      <w:r>
        <w:rPr>
          <w:rFonts w:ascii="Arial" w:hAnsi="Arial" w:cs="Arial"/>
        </w:rPr>
        <w:t>.</w:t>
      </w:r>
    </w:p>
    <w:p w14:paraId="24E07158" w14:textId="77777777" w:rsidR="000F6B8E" w:rsidRPr="002048CA" w:rsidRDefault="000F6B8E" w:rsidP="002A1A03">
      <w:pPr>
        <w:rPr>
          <w:rFonts w:ascii="Arial" w:hAnsi="Arial" w:cs="Arial"/>
          <w:b/>
          <w:szCs w:val="22"/>
        </w:rPr>
      </w:pPr>
    </w:p>
    <w:p w14:paraId="5168F923" w14:textId="74424B47" w:rsidR="000F6B8E" w:rsidRPr="002048CA" w:rsidRDefault="000F6B8E" w:rsidP="002A1A03">
      <w:pPr>
        <w:rPr>
          <w:rFonts w:ascii="Arial" w:hAnsi="Arial" w:cs="Arial"/>
          <w:b/>
          <w:bCs/>
        </w:rPr>
      </w:pPr>
      <w:r>
        <w:rPr>
          <w:rFonts w:ascii="Arial" w:hAnsi="Arial" w:cs="Arial"/>
          <w:b/>
          <w:bCs/>
        </w:rPr>
        <w:t>National Audit Office Report on Financial Sustainability</w:t>
      </w:r>
      <w:r w:rsidR="006161B5">
        <w:rPr>
          <w:rFonts w:ascii="Arial" w:hAnsi="Arial" w:cs="Arial"/>
          <w:b/>
          <w:bCs/>
        </w:rPr>
        <w:t xml:space="preserve"> and Reserves</w:t>
      </w:r>
    </w:p>
    <w:p w14:paraId="432A8816" w14:textId="77777777" w:rsidR="000F6B8E" w:rsidRPr="002048CA" w:rsidRDefault="000F6B8E" w:rsidP="002A1A03">
      <w:pPr>
        <w:pStyle w:val="ListParagraph"/>
        <w:ind w:left="360"/>
        <w:contextualSpacing/>
        <w:rPr>
          <w:rFonts w:ascii="Arial" w:hAnsi="Arial" w:cs="Arial"/>
        </w:rPr>
      </w:pPr>
    </w:p>
    <w:p w14:paraId="79EA7DD2" w14:textId="03965268" w:rsidR="006161B5" w:rsidRPr="004D246A" w:rsidRDefault="006161B5" w:rsidP="002A1A03">
      <w:pPr>
        <w:pStyle w:val="ListParagraph"/>
        <w:numPr>
          <w:ilvl w:val="0"/>
          <w:numId w:val="1"/>
        </w:numPr>
        <w:contextualSpacing/>
        <w:rPr>
          <w:rFonts w:ascii="Arial" w:hAnsi="Arial" w:cs="Arial"/>
          <w:color w:val="000000" w:themeColor="text1"/>
          <w:szCs w:val="22"/>
        </w:rPr>
      </w:pPr>
      <w:r w:rsidRPr="004D246A">
        <w:rPr>
          <w:rFonts w:ascii="Arial" w:hAnsi="Arial" w:cs="Arial"/>
          <w:color w:val="000000" w:themeColor="text1"/>
          <w:szCs w:val="22"/>
        </w:rPr>
        <w:t xml:space="preserve">The National Audit Office recently published its </w:t>
      </w:r>
      <w:hyperlink r:id="rId30" w:history="1">
        <w:r w:rsidRPr="006161B5">
          <w:rPr>
            <w:rStyle w:val="Hyperlink"/>
            <w:rFonts w:ascii="Arial" w:hAnsi="Arial" w:cs="Arial"/>
            <w:szCs w:val="22"/>
          </w:rPr>
          <w:t>report into the Financial Sustainability of Councils</w:t>
        </w:r>
      </w:hyperlink>
      <w:r w:rsidRPr="006161B5">
        <w:rPr>
          <w:rFonts w:ascii="Arial" w:hAnsi="Arial" w:cs="Arial"/>
          <w:color w:val="333333"/>
          <w:szCs w:val="22"/>
        </w:rPr>
        <w:t xml:space="preserve">, </w:t>
      </w:r>
      <w:r w:rsidRPr="004D246A">
        <w:rPr>
          <w:rFonts w:ascii="Arial" w:hAnsi="Arial" w:cs="Arial"/>
          <w:color w:val="000000" w:themeColor="text1"/>
          <w:szCs w:val="22"/>
        </w:rPr>
        <w:t xml:space="preserve">including some stark messages about the funding of local government. We </w:t>
      </w:r>
      <w:r w:rsidR="00AF55BB">
        <w:rPr>
          <w:rFonts w:ascii="Arial" w:hAnsi="Arial" w:cs="Arial"/>
          <w:color w:val="000000" w:themeColor="text1"/>
          <w:szCs w:val="22"/>
        </w:rPr>
        <w:t xml:space="preserve">provided evidence during this study and </w:t>
      </w:r>
      <w:r w:rsidRPr="004D246A">
        <w:rPr>
          <w:rFonts w:ascii="Arial" w:hAnsi="Arial" w:cs="Arial"/>
          <w:color w:val="000000" w:themeColor="text1"/>
          <w:szCs w:val="22"/>
        </w:rPr>
        <w:t>responded to the report with a</w:t>
      </w:r>
      <w:r w:rsidRPr="006161B5">
        <w:rPr>
          <w:rFonts w:ascii="Arial" w:hAnsi="Arial" w:cs="Arial"/>
          <w:color w:val="333333"/>
          <w:szCs w:val="22"/>
        </w:rPr>
        <w:t xml:space="preserve"> </w:t>
      </w:r>
      <w:hyperlink r:id="rId31" w:history="1">
        <w:r w:rsidRPr="006161B5">
          <w:rPr>
            <w:rStyle w:val="Hyperlink"/>
            <w:rFonts w:ascii="Arial" w:hAnsi="Arial" w:cs="Arial"/>
            <w:szCs w:val="22"/>
          </w:rPr>
          <w:t>media statement</w:t>
        </w:r>
      </w:hyperlink>
      <w:r w:rsidRPr="006161B5">
        <w:rPr>
          <w:rFonts w:ascii="Arial" w:hAnsi="Arial" w:cs="Arial"/>
          <w:color w:val="333333"/>
          <w:szCs w:val="22"/>
        </w:rPr>
        <w:t xml:space="preserve"> </w:t>
      </w:r>
      <w:r w:rsidRPr="004D246A">
        <w:rPr>
          <w:rFonts w:ascii="Arial" w:hAnsi="Arial" w:cs="Arial"/>
          <w:color w:val="000000" w:themeColor="text1"/>
          <w:szCs w:val="22"/>
        </w:rPr>
        <w:t>and</w:t>
      </w:r>
      <w:r w:rsidRPr="006161B5">
        <w:rPr>
          <w:rFonts w:ascii="Arial" w:hAnsi="Arial" w:cs="Arial"/>
          <w:color w:val="333333"/>
          <w:szCs w:val="22"/>
        </w:rPr>
        <w:t xml:space="preserve"> </w:t>
      </w:r>
      <w:hyperlink r:id="rId32" w:history="1">
        <w:r w:rsidRPr="006161B5">
          <w:rPr>
            <w:rStyle w:val="Hyperlink"/>
            <w:rFonts w:ascii="Arial" w:hAnsi="Arial" w:cs="Arial"/>
            <w:szCs w:val="22"/>
          </w:rPr>
          <w:t>briefed MPs</w:t>
        </w:r>
      </w:hyperlink>
      <w:r w:rsidRPr="006161B5">
        <w:rPr>
          <w:rFonts w:ascii="Arial" w:hAnsi="Arial" w:cs="Arial"/>
          <w:color w:val="333333"/>
          <w:szCs w:val="22"/>
        </w:rPr>
        <w:t xml:space="preserve"> </w:t>
      </w:r>
      <w:r w:rsidRPr="004D246A">
        <w:rPr>
          <w:rFonts w:ascii="Arial" w:hAnsi="Arial" w:cs="Arial"/>
          <w:color w:val="000000" w:themeColor="text1"/>
          <w:szCs w:val="22"/>
        </w:rPr>
        <w:t xml:space="preserve">for a debate in Parliament on this on 20 March. </w:t>
      </w:r>
    </w:p>
    <w:p w14:paraId="2FD56101" w14:textId="77777777" w:rsidR="006161B5" w:rsidRPr="004D246A" w:rsidRDefault="006161B5" w:rsidP="002A1A03">
      <w:pPr>
        <w:contextualSpacing/>
        <w:rPr>
          <w:rFonts w:ascii="Arial" w:hAnsi="Arial" w:cs="Arial"/>
          <w:color w:val="000000" w:themeColor="text1"/>
          <w:szCs w:val="22"/>
        </w:rPr>
      </w:pPr>
    </w:p>
    <w:p w14:paraId="70D4772E" w14:textId="2467851E" w:rsidR="000F6B8E" w:rsidRPr="006161B5" w:rsidRDefault="006161B5" w:rsidP="002A1A03">
      <w:pPr>
        <w:pStyle w:val="ListParagraph"/>
        <w:numPr>
          <w:ilvl w:val="0"/>
          <w:numId w:val="1"/>
        </w:numPr>
        <w:contextualSpacing/>
        <w:rPr>
          <w:rFonts w:ascii="Arial" w:hAnsi="Arial" w:cs="Arial"/>
          <w:szCs w:val="22"/>
        </w:rPr>
      </w:pPr>
      <w:r w:rsidRPr="004D246A">
        <w:rPr>
          <w:rFonts w:ascii="Arial" w:hAnsi="Arial" w:cs="Arial"/>
          <w:color w:val="000000" w:themeColor="text1"/>
          <w:szCs w:val="22"/>
        </w:rPr>
        <w:t>We also produced a</w:t>
      </w:r>
      <w:r w:rsidRPr="006161B5">
        <w:rPr>
          <w:rFonts w:ascii="Arial" w:hAnsi="Arial" w:cs="Arial"/>
          <w:color w:val="333333"/>
          <w:szCs w:val="22"/>
        </w:rPr>
        <w:t xml:space="preserve"> </w:t>
      </w:r>
      <w:hyperlink r:id="rId33" w:history="1">
        <w:r w:rsidRPr="006161B5">
          <w:rPr>
            <w:rStyle w:val="Hyperlink"/>
            <w:rFonts w:ascii="Arial" w:hAnsi="Arial" w:cs="Arial"/>
            <w:szCs w:val="22"/>
          </w:rPr>
          <w:t>briefing on council reserves</w:t>
        </w:r>
      </w:hyperlink>
      <w:r w:rsidRPr="006161B5">
        <w:rPr>
          <w:rFonts w:ascii="Arial" w:hAnsi="Arial" w:cs="Arial"/>
          <w:color w:val="333333"/>
          <w:szCs w:val="22"/>
        </w:rPr>
        <w:t xml:space="preserve"> </w:t>
      </w:r>
      <w:r w:rsidRPr="004D246A">
        <w:rPr>
          <w:rFonts w:ascii="Arial" w:hAnsi="Arial" w:cs="Arial"/>
          <w:color w:val="000000" w:themeColor="text1"/>
          <w:szCs w:val="22"/>
        </w:rPr>
        <w:t>in response to comments made about these at Treasury questions in the House of Commons and in the media.</w:t>
      </w:r>
    </w:p>
    <w:p w14:paraId="582E63A2" w14:textId="77777777" w:rsidR="000F6B8E" w:rsidRPr="002048CA" w:rsidRDefault="000F6B8E" w:rsidP="002A1A03">
      <w:pPr>
        <w:rPr>
          <w:rFonts w:ascii="Arial" w:hAnsi="Arial" w:cs="Arial"/>
          <w:b/>
          <w:szCs w:val="22"/>
        </w:rPr>
      </w:pPr>
    </w:p>
    <w:p w14:paraId="3D1A594F" w14:textId="35804489" w:rsidR="00DA479A" w:rsidRPr="002048CA" w:rsidRDefault="0B50786C" w:rsidP="002A1A03">
      <w:pPr>
        <w:rPr>
          <w:rFonts w:ascii="Arial" w:hAnsi="Arial" w:cs="Arial"/>
          <w:b/>
          <w:bCs/>
        </w:rPr>
      </w:pPr>
      <w:r w:rsidRPr="0B50786C">
        <w:rPr>
          <w:rFonts w:ascii="Arial" w:hAnsi="Arial" w:cs="Arial"/>
          <w:b/>
          <w:bCs/>
        </w:rPr>
        <w:t xml:space="preserve">Implications for Wales </w:t>
      </w:r>
    </w:p>
    <w:p w14:paraId="69213286" w14:textId="77777777" w:rsidR="00483785" w:rsidRPr="002048CA" w:rsidRDefault="00483785" w:rsidP="002A1A03">
      <w:pPr>
        <w:rPr>
          <w:rFonts w:ascii="Arial" w:hAnsi="Arial" w:cs="Arial"/>
          <w:b/>
          <w:szCs w:val="22"/>
        </w:rPr>
      </w:pPr>
    </w:p>
    <w:p w14:paraId="36E0FD5F" w14:textId="273D8F03" w:rsidR="00DA479A" w:rsidRPr="002048CA" w:rsidRDefault="0B50786C" w:rsidP="002A1A03">
      <w:pPr>
        <w:pStyle w:val="ListParagraph"/>
        <w:numPr>
          <w:ilvl w:val="0"/>
          <w:numId w:val="1"/>
        </w:numPr>
        <w:contextualSpacing/>
        <w:rPr>
          <w:rFonts w:ascii="Arial" w:hAnsi="Arial" w:cs="Arial"/>
        </w:rPr>
      </w:pPr>
      <w:r w:rsidRPr="0B50786C">
        <w:rPr>
          <w:rFonts w:ascii="Arial" w:hAnsi="Arial" w:cs="Arial"/>
        </w:rPr>
        <w:t xml:space="preserve">There are no direct implications for Wales arising from this report. The funding of Welsh local authorities is a devolved matter in Wales. </w:t>
      </w:r>
    </w:p>
    <w:p w14:paraId="399C2B2D" w14:textId="77777777" w:rsidR="00483785" w:rsidRPr="002048CA" w:rsidRDefault="00483785" w:rsidP="002A1A03">
      <w:pPr>
        <w:rPr>
          <w:rFonts w:ascii="Arial" w:hAnsi="Arial" w:cs="Arial"/>
          <w:b/>
          <w:szCs w:val="22"/>
        </w:rPr>
      </w:pPr>
    </w:p>
    <w:p w14:paraId="7064FEE6" w14:textId="77777777" w:rsidR="00DA479A" w:rsidRPr="002048CA" w:rsidRDefault="0B50786C" w:rsidP="002A1A03">
      <w:pPr>
        <w:rPr>
          <w:rFonts w:ascii="Arial" w:hAnsi="Arial" w:cs="Arial"/>
          <w:b/>
          <w:bCs/>
        </w:rPr>
      </w:pPr>
      <w:r w:rsidRPr="0B50786C">
        <w:rPr>
          <w:rFonts w:ascii="Arial" w:hAnsi="Arial" w:cs="Arial"/>
          <w:b/>
          <w:bCs/>
        </w:rPr>
        <w:t xml:space="preserve">Next steps </w:t>
      </w:r>
    </w:p>
    <w:p w14:paraId="373137C9" w14:textId="77777777" w:rsidR="00483785" w:rsidRPr="002048CA" w:rsidRDefault="00483785" w:rsidP="002A1A03">
      <w:pPr>
        <w:pStyle w:val="ListParagraph"/>
        <w:ind w:left="360"/>
        <w:contextualSpacing/>
        <w:rPr>
          <w:rFonts w:ascii="Arial" w:hAnsi="Arial" w:cs="Arial"/>
        </w:rPr>
      </w:pPr>
    </w:p>
    <w:p w14:paraId="7635FD12" w14:textId="4E4B310B" w:rsidR="00483785" w:rsidRPr="002048CA" w:rsidRDefault="0B50786C" w:rsidP="002A1A03">
      <w:pPr>
        <w:pStyle w:val="ListParagraph"/>
        <w:numPr>
          <w:ilvl w:val="0"/>
          <w:numId w:val="1"/>
        </w:numPr>
        <w:contextualSpacing/>
        <w:rPr>
          <w:rFonts w:ascii="Arial" w:hAnsi="Arial" w:cs="Arial"/>
        </w:rPr>
      </w:pPr>
      <w:r w:rsidRPr="0B50786C">
        <w:rPr>
          <w:rFonts w:ascii="Arial" w:hAnsi="Arial" w:cs="Arial"/>
        </w:rPr>
        <w:t>Officers will proceed on the basis of the discussions at Resources Board.</w:t>
      </w:r>
    </w:p>
    <w:p w14:paraId="3433513C" w14:textId="77777777" w:rsidR="00483785" w:rsidRPr="002048CA" w:rsidRDefault="00483785" w:rsidP="002A1A03">
      <w:pPr>
        <w:pStyle w:val="ListParagraph"/>
        <w:ind w:left="360"/>
        <w:contextualSpacing/>
        <w:rPr>
          <w:rFonts w:ascii="Arial" w:hAnsi="Arial" w:cs="Arial"/>
        </w:rPr>
      </w:pPr>
    </w:p>
    <w:p w14:paraId="6D93B224" w14:textId="5E94B3D9" w:rsidR="00DA479A" w:rsidRPr="002048CA" w:rsidRDefault="0B50786C" w:rsidP="002A1A03">
      <w:pPr>
        <w:pStyle w:val="ListParagraph"/>
        <w:numPr>
          <w:ilvl w:val="0"/>
          <w:numId w:val="1"/>
        </w:numPr>
        <w:contextualSpacing/>
        <w:rPr>
          <w:rFonts w:ascii="Arial" w:hAnsi="Arial" w:cs="Arial"/>
        </w:rPr>
      </w:pPr>
      <w:r w:rsidRPr="0B50786C">
        <w:rPr>
          <w:rFonts w:ascii="Arial" w:hAnsi="Arial" w:cs="Arial"/>
        </w:rPr>
        <w:t>The LGA will continue to work closely with Government on further business rates retention reform and the Fair Funding Review, including responding to future consultations and technical discussion papers.</w:t>
      </w:r>
    </w:p>
    <w:p w14:paraId="7E8BCD95" w14:textId="77777777" w:rsidR="00483785" w:rsidRPr="002048CA" w:rsidRDefault="00483785" w:rsidP="002A1A03">
      <w:pPr>
        <w:pStyle w:val="ListParagraph"/>
        <w:rPr>
          <w:rFonts w:ascii="Arial" w:hAnsi="Arial" w:cs="Arial"/>
        </w:rPr>
      </w:pPr>
    </w:p>
    <w:p w14:paraId="2FC047B6" w14:textId="6E294911" w:rsidR="00483785" w:rsidRPr="002048CA" w:rsidRDefault="0B50786C" w:rsidP="002A1A03">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2A1A03">
      <w:pPr>
        <w:contextualSpacing/>
        <w:rPr>
          <w:rFonts w:ascii="Arial" w:hAnsi="Arial" w:cs="Arial"/>
          <w:b/>
        </w:rPr>
      </w:pPr>
    </w:p>
    <w:p w14:paraId="6A59E3BE" w14:textId="60AEAC87" w:rsidR="003F1439" w:rsidRPr="002048CA" w:rsidRDefault="002F298F" w:rsidP="002A1A03">
      <w:pPr>
        <w:pStyle w:val="ListParagraph"/>
        <w:numPr>
          <w:ilvl w:val="0"/>
          <w:numId w:val="1"/>
        </w:numPr>
        <w:contextualSpacing/>
        <w:rPr>
          <w:rFonts w:ascii="Arial" w:hAnsi="Arial" w:cs="Arial"/>
        </w:rPr>
      </w:pPr>
      <w:r>
        <w:rPr>
          <w:rFonts w:ascii="Arial" w:hAnsi="Arial" w:cs="Arial"/>
        </w:rPr>
        <w:t xml:space="preserve">This </w:t>
      </w:r>
      <w:r w:rsidR="0B50786C" w:rsidRPr="0B50786C">
        <w:rPr>
          <w:rFonts w:ascii="Arial" w:hAnsi="Arial" w:cs="Arial"/>
        </w:rPr>
        <w:t>work is part of the LGA’s core programme of work and as such has been budgeted for in 2017/18</w:t>
      </w:r>
      <w:r>
        <w:rPr>
          <w:rFonts w:ascii="Arial" w:hAnsi="Arial" w:cs="Arial"/>
        </w:rPr>
        <w:t xml:space="preserve"> and 2018/19</w:t>
      </w:r>
      <w:r w:rsidR="0B50786C" w:rsidRPr="0B50786C">
        <w:rPr>
          <w:rFonts w:ascii="Arial" w:hAnsi="Arial" w:cs="Arial"/>
        </w:rPr>
        <w:t xml:space="preserve"> budgets.</w:t>
      </w:r>
    </w:p>
    <w:sectPr w:rsidR="003F1439" w:rsidRPr="002048CA"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F079" w14:textId="77777777" w:rsidR="004D246A" w:rsidRDefault="004D246A">
      <w:r>
        <w:separator/>
      </w:r>
    </w:p>
  </w:endnote>
  <w:endnote w:type="continuationSeparator" w:id="0">
    <w:p w14:paraId="7DE28454" w14:textId="77777777" w:rsidR="004D246A" w:rsidRDefault="004D246A">
      <w:r>
        <w:continuationSeparator/>
      </w:r>
    </w:p>
  </w:endnote>
  <w:endnote w:type="continuationNotice" w:id="1">
    <w:p w14:paraId="4F9DB43A" w14:textId="77777777" w:rsidR="004D246A" w:rsidRDefault="004D2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06DE" w14:textId="77777777" w:rsidR="00112ABB" w:rsidRDefault="0011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4D246A" w:rsidRDefault="004D246A">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0938" w14:textId="77777777" w:rsidR="00112ABB" w:rsidRDefault="0011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A4D2B" w14:textId="77777777" w:rsidR="004D246A" w:rsidRDefault="004D246A">
      <w:r>
        <w:separator/>
      </w:r>
    </w:p>
  </w:footnote>
  <w:footnote w:type="continuationSeparator" w:id="0">
    <w:p w14:paraId="3EDDBA2C" w14:textId="77777777" w:rsidR="004D246A" w:rsidRDefault="004D246A">
      <w:r>
        <w:continuationSeparator/>
      </w:r>
    </w:p>
  </w:footnote>
  <w:footnote w:type="continuationNotice" w:id="1">
    <w:p w14:paraId="29D896E7" w14:textId="77777777" w:rsidR="004D246A" w:rsidRDefault="004D2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CEB4" w14:textId="77777777" w:rsidR="00112ABB" w:rsidRDefault="00112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4D246A" w:rsidRPr="004F266E" w14:paraId="3E8322B8" w14:textId="77777777" w:rsidTr="0B50786C">
      <w:tc>
        <w:tcPr>
          <w:tcW w:w="5920" w:type="dxa"/>
          <w:vMerge w:val="restart"/>
          <w:shd w:val="clear" w:color="auto" w:fill="auto"/>
        </w:tcPr>
        <w:p w14:paraId="3E8322B6" w14:textId="77777777" w:rsidR="004D246A" w:rsidRPr="00374227" w:rsidRDefault="004D246A"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46911BE2" w14:textId="77777777" w:rsidR="00112ABB" w:rsidRDefault="00112ABB" w:rsidP="0B50786C">
          <w:pPr>
            <w:pStyle w:val="Header"/>
            <w:rPr>
              <w:rFonts w:ascii="Arial" w:hAnsi="Arial" w:cs="Arial"/>
              <w:b/>
              <w:bCs/>
            </w:rPr>
          </w:pPr>
        </w:p>
        <w:p w14:paraId="3E8322B7" w14:textId="2BF2A6DD" w:rsidR="004D246A" w:rsidRPr="00E7702B" w:rsidRDefault="004D246A" w:rsidP="0B50786C">
          <w:pPr>
            <w:pStyle w:val="Header"/>
            <w:rPr>
              <w:rFonts w:ascii="Arial" w:hAnsi="Arial" w:cs="Arial"/>
              <w:b/>
              <w:bCs/>
              <w:i/>
              <w:iCs/>
            </w:rPr>
          </w:pPr>
          <w:bookmarkStart w:id="0" w:name="_GoBack"/>
          <w:bookmarkEnd w:id="0"/>
          <w:r w:rsidRPr="0B50786C">
            <w:rPr>
              <w:rFonts w:ascii="Arial" w:hAnsi="Arial" w:cs="Arial"/>
              <w:b/>
              <w:bCs/>
            </w:rPr>
            <w:t>Resources Board</w:t>
          </w:r>
          <w:r w:rsidRPr="0B50786C">
            <w:rPr>
              <w:rFonts w:ascii="Arial" w:hAnsi="Arial" w:cs="Arial"/>
              <w:i/>
              <w:iCs/>
            </w:rPr>
            <w:t xml:space="preserve"> </w:t>
          </w:r>
        </w:p>
      </w:tc>
    </w:tr>
    <w:tr w:rsidR="004D246A" w14:paraId="3E8322BB" w14:textId="77777777" w:rsidTr="0B50786C">
      <w:trPr>
        <w:trHeight w:val="450"/>
      </w:trPr>
      <w:tc>
        <w:tcPr>
          <w:tcW w:w="5920" w:type="dxa"/>
          <w:vMerge/>
          <w:shd w:val="clear" w:color="auto" w:fill="auto"/>
        </w:tcPr>
        <w:p w14:paraId="3E8322B9" w14:textId="77777777" w:rsidR="004D246A" w:rsidRPr="00374227" w:rsidRDefault="004D246A" w:rsidP="00765850">
          <w:pPr>
            <w:pStyle w:val="Header"/>
          </w:pPr>
        </w:p>
      </w:tc>
      <w:tc>
        <w:tcPr>
          <w:tcW w:w="3260" w:type="dxa"/>
          <w:shd w:val="clear" w:color="auto" w:fill="auto"/>
          <w:vAlign w:val="center"/>
        </w:tcPr>
        <w:p w14:paraId="3E8322BA" w14:textId="1CC59491" w:rsidR="004D246A" w:rsidRPr="00374227" w:rsidRDefault="004D246A" w:rsidP="0B50786C">
          <w:pPr>
            <w:pStyle w:val="Header"/>
            <w:spacing w:before="60"/>
            <w:rPr>
              <w:rFonts w:ascii="Arial" w:hAnsi="Arial" w:cs="Arial"/>
            </w:rPr>
          </w:pPr>
          <w:r>
            <w:rPr>
              <w:rFonts w:ascii="Arial" w:hAnsi="Arial" w:cs="Arial"/>
            </w:rPr>
            <w:t>5 April</w:t>
          </w:r>
          <w:r w:rsidRPr="0B50786C">
            <w:rPr>
              <w:rFonts w:ascii="Arial" w:hAnsi="Arial" w:cs="Arial"/>
            </w:rPr>
            <w:t xml:space="preserve"> 2018 </w:t>
          </w:r>
        </w:p>
      </w:tc>
    </w:tr>
    <w:tr w:rsidR="004D246A" w:rsidRPr="004F266E" w14:paraId="3E8322BE" w14:textId="77777777" w:rsidTr="0B50786C">
      <w:trPr>
        <w:trHeight w:val="708"/>
      </w:trPr>
      <w:tc>
        <w:tcPr>
          <w:tcW w:w="5920" w:type="dxa"/>
          <w:vMerge/>
          <w:shd w:val="clear" w:color="auto" w:fill="auto"/>
        </w:tcPr>
        <w:p w14:paraId="3E8322BC" w14:textId="77777777" w:rsidR="004D246A" w:rsidRPr="00374227" w:rsidRDefault="004D246A" w:rsidP="00765850">
          <w:pPr>
            <w:pStyle w:val="Header"/>
          </w:pPr>
        </w:p>
      </w:tc>
      <w:tc>
        <w:tcPr>
          <w:tcW w:w="3260" w:type="dxa"/>
          <w:shd w:val="clear" w:color="auto" w:fill="auto"/>
          <w:vAlign w:val="center"/>
        </w:tcPr>
        <w:p w14:paraId="3E8322BD" w14:textId="16F83A37" w:rsidR="004D246A" w:rsidRPr="00374227" w:rsidRDefault="004D246A" w:rsidP="0B50786C">
          <w:pPr>
            <w:pStyle w:val="Header"/>
            <w:spacing w:before="60"/>
            <w:rPr>
              <w:rFonts w:ascii="Arial" w:hAnsi="Arial" w:cs="Arial"/>
              <w:b/>
              <w:bCs/>
            </w:rPr>
          </w:pPr>
        </w:p>
      </w:tc>
    </w:tr>
  </w:tbl>
  <w:p w14:paraId="3E8322BF" w14:textId="77777777" w:rsidR="004D246A" w:rsidRPr="0021114E" w:rsidRDefault="004D246A">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D246A" w:rsidRDefault="004D246A" w:rsidP="00765850">
    <w:pPr>
      <w:pStyle w:val="Header"/>
      <w:rPr>
        <w:sz w:val="2"/>
      </w:rPr>
    </w:pPr>
  </w:p>
  <w:p w14:paraId="3E8322C2" w14:textId="77777777" w:rsidR="004D246A" w:rsidRDefault="004D246A"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4D246A" w:rsidRPr="001D2C76" w14:paraId="3E8322C5" w14:textId="77777777" w:rsidTr="0B50786C">
      <w:tc>
        <w:tcPr>
          <w:tcW w:w="6062" w:type="dxa"/>
          <w:vMerge w:val="restart"/>
        </w:tcPr>
        <w:p w14:paraId="3E8322C3" w14:textId="77777777" w:rsidR="004D246A" w:rsidRDefault="004D246A"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D246A" w:rsidRPr="001D2C76" w:rsidRDefault="004D246A" w:rsidP="0B50786C">
          <w:pPr>
            <w:pStyle w:val="Header"/>
            <w:rPr>
              <w:b/>
              <w:bCs/>
            </w:rPr>
          </w:pPr>
          <w:r w:rsidRPr="0B50786C">
            <w:rPr>
              <w:rFonts w:ascii="Arial" w:hAnsi="Arial" w:cs="Arial"/>
              <w:b/>
              <w:bCs/>
              <w:sz w:val="24"/>
              <w:szCs w:val="24"/>
            </w:rPr>
            <w:t>Meeting title</w:t>
          </w:r>
        </w:p>
      </w:tc>
    </w:tr>
    <w:tr w:rsidR="004D246A" w14:paraId="3E8322C8" w14:textId="77777777" w:rsidTr="0B50786C">
      <w:trPr>
        <w:trHeight w:val="450"/>
      </w:trPr>
      <w:tc>
        <w:tcPr>
          <w:tcW w:w="6062" w:type="dxa"/>
          <w:vMerge/>
        </w:tcPr>
        <w:p w14:paraId="3E8322C6" w14:textId="77777777" w:rsidR="004D246A" w:rsidRDefault="004D246A" w:rsidP="00765850">
          <w:pPr>
            <w:pStyle w:val="Header"/>
          </w:pPr>
        </w:p>
      </w:tc>
      <w:tc>
        <w:tcPr>
          <w:tcW w:w="3225" w:type="dxa"/>
        </w:tcPr>
        <w:p w14:paraId="3E8322C7" w14:textId="77777777" w:rsidR="004D246A" w:rsidRDefault="004D246A" w:rsidP="00765850">
          <w:pPr>
            <w:pStyle w:val="Header"/>
            <w:spacing w:before="60"/>
          </w:pPr>
          <w:r w:rsidRPr="0B50786C">
            <w:rPr>
              <w:rFonts w:ascii="Arial" w:hAnsi="Arial" w:cs="Arial"/>
              <w:sz w:val="24"/>
              <w:szCs w:val="24"/>
            </w:rPr>
            <w:t xml:space="preserve">Meeting date </w:t>
          </w:r>
        </w:p>
      </w:tc>
    </w:tr>
    <w:tr w:rsidR="004D246A" w14:paraId="3E8322CC" w14:textId="77777777" w:rsidTr="0B50786C">
      <w:trPr>
        <w:trHeight w:val="450"/>
      </w:trPr>
      <w:tc>
        <w:tcPr>
          <w:tcW w:w="6062" w:type="dxa"/>
          <w:vMerge/>
        </w:tcPr>
        <w:p w14:paraId="3E8322C9" w14:textId="77777777" w:rsidR="004D246A" w:rsidRDefault="004D246A" w:rsidP="00765850">
          <w:pPr>
            <w:pStyle w:val="Header"/>
          </w:pPr>
        </w:p>
      </w:tc>
      <w:tc>
        <w:tcPr>
          <w:tcW w:w="3225" w:type="dxa"/>
        </w:tcPr>
        <w:p w14:paraId="3E8322CA" w14:textId="77777777" w:rsidR="004D246A" w:rsidRDefault="004D246A" w:rsidP="00765850">
          <w:pPr>
            <w:pStyle w:val="Header"/>
            <w:spacing w:before="60"/>
            <w:rPr>
              <w:rFonts w:ascii="Arial" w:hAnsi="Arial" w:cs="Arial"/>
              <w:b/>
              <w:sz w:val="24"/>
              <w:szCs w:val="24"/>
            </w:rPr>
          </w:pPr>
        </w:p>
        <w:p w14:paraId="3E8322CB" w14:textId="77777777" w:rsidR="004D246A" w:rsidRPr="00546D0D" w:rsidRDefault="004D246A"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4D246A" w:rsidRDefault="004D246A"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5"/>
  </w:num>
  <w:num w:numId="5">
    <w:abstractNumId w:val="2"/>
  </w:num>
  <w:num w:numId="6">
    <w:abstractNumId w:val="3"/>
  </w:num>
  <w:num w:numId="7">
    <w:abstractNumId w:val="8"/>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1FC7"/>
    <w:rsid w:val="00026B5D"/>
    <w:rsid w:val="00034372"/>
    <w:rsid w:val="00067747"/>
    <w:rsid w:val="000711BA"/>
    <w:rsid w:val="00084A70"/>
    <w:rsid w:val="00095858"/>
    <w:rsid w:val="000A6C09"/>
    <w:rsid w:val="000B2009"/>
    <w:rsid w:val="000E0DE9"/>
    <w:rsid w:val="000E3D0C"/>
    <w:rsid w:val="000F1763"/>
    <w:rsid w:val="000F1E6D"/>
    <w:rsid w:val="000F6B8E"/>
    <w:rsid w:val="00105469"/>
    <w:rsid w:val="001125B0"/>
    <w:rsid w:val="00112ABB"/>
    <w:rsid w:val="001140F5"/>
    <w:rsid w:val="00122698"/>
    <w:rsid w:val="00124A4F"/>
    <w:rsid w:val="001447C2"/>
    <w:rsid w:val="00146025"/>
    <w:rsid w:val="001465B1"/>
    <w:rsid w:val="00161683"/>
    <w:rsid w:val="0016436C"/>
    <w:rsid w:val="00171294"/>
    <w:rsid w:val="00185D5B"/>
    <w:rsid w:val="001B36CE"/>
    <w:rsid w:val="001C5324"/>
    <w:rsid w:val="001D1A36"/>
    <w:rsid w:val="001D63BC"/>
    <w:rsid w:val="001E2520"/>
    <w:rsid w:val="001E48D5"/>
    <w:rsid w:val="001E720D"/>
    <w:rsid w:val="001F1FF1"/>
    <w:rsid w:val="00201574"/>
    <w:rsid w:val="002048CA"/>
    <w:rsid w:val="00215E14"/>
    <w:rsid w:val="00243DF2"/>
    <w:rsid w:val="00245629"/>
    <w:rsid w:val="00247EA5"/>
    <w:rsid w:val="0026296D"/>
    <w:rsid w:val="002634A5"/>
    <w:rsid w:val="00272225"/>
    <w:rsid w:val="00295764"/>
    <w:rsid w:val="002A1A03"/>
    <w:rsid w:val="002A575E"/>
    <w:rsid w:val="002B42C7"/>
    <w:rsid w:val="002C7039"/>
    <w:rsid w:val="002F298F"/>
    <w:rsid w:val="00307F8D"/>
    <w:rsid w:val="003151DB"/>
    <w:rsid w:val="00357639"/>
    <w:rsid w:val="00363AAD"/>
    <w:rsid w:val="003A618D"/>
    <w:rsid w:val="003B32C9"/>
    <w:rsid w:val="003C466D"/>
    <w:rsid w:val="003C4E35"/>
    <w:rsid w:val="003D341C"/>
    <w:rsid w:val="003F1439"/>
    <w:rsid w:val="003F51CF"/>
    <w:rsid w:val="00411BCD"/>
    <w:rsid w:val="00463758"/>
    <w:rsid w:val="00463F86"/>
    <w:rsid w:val="004644FA"/>
    <w:rsid w:val="00464D1C"/>
    <w:rsid w:val="0046729B"/>
    <w:rsid w:val="00474EA7"/>
    <w:rsid w:val="00475908"/>
    <w:rsid w:val="00483785"/>
    <w:rsid w:val="004951B0"/>
    <w:rsid w:val="004A0786"/>
    <w:rsid w:val="004A1811"/>
    <w:rsid w:val="004D2119"/>
    <w:rsid w:val="004D246A"/>
    <w:rsid w:val="004F61B6"/>
    <w:rsid w:val="00504847"/>
    <w:rsid w:val="00515398"/>
    <w:rsid w:val="00522ECB"/>
    <w:rsid w:val="00535FB6"/>
    <w:rsid w:val="00554F76"/>
    <w:rsid w:val="00567752"/>
    <w:rsid w:val="00570551"/>
    <w:rsid w:val="005B44E5"/>
    <w:rsid w:val="005D7E1C"/>
    <w:rsid w:val="005E252B"/>
    <w:rsid w:val="005E5B9F"/>
    <w:rsid w:val="00612E8B"/>
    <w:rsid w:val="006161B5"/>
    <w:rsid w:val="00616911"/>
    <w:rsid w:val="00616B56"/>
    <w:rsid w:val="006675C2"/>
    <w:rsid w:val="00675B2B"/>
    <w:rsid w:val="00682B3A"/>
    <w:rsid w:val="006C2BA7"/>
    <w:rsid w:val="006C4D83"/>
    <w:rsid w:val="006D1560"/>
    <w:rsid w:val="006E0650"/>
    <w:rsid w:val="006F115B"/>
    <w:rsid w:val="006F26D0"/>
    <w:rsid w:val="007064C2"/>
    <w:rsid w:val="00721012"/>
    <w:rsid w:val="00727092"/>
    <w:rsid w:val="0073574F"/>
    <w:rsid w:val="0073658D"/>
    <w:rsid w:val="00740FB6"/>
    <w:rsid w:val="00742EDC"/>
    <w:rsid w:val="007524DF"/>
    <w:rsid w:val="00755E29"/>
    <w:rsid w:val="00765850"/>
    <w:rsid w:val="00766459"/>
    <w:rsid w:val="00771886"/>
    <w:rsid w:val="00776798"/>
    <w:rsid w:val="0079222D"/>
    <w:rsid w:val="00797462"/>
    <w:rsid w:val="007977F7"/>
    <w:rsid w:val="007D25FA"/>
    <w:rsid w:val="007D4A06"/>
    <w:rsid w:val="007F59C0"/>
    <w:rsid w:val="008074C5"/>
    <w:rsid w:val="00820FF5"/>
    <w:rsid w:val="00841D53"/>
    <w:rsid w:val="00846078"/>
    <w:rsid w:val="00847C6A"/>
    <w:rsid w:val="008615D5"/>
    <w:rsid w:val="00862D3B"/>
    <w:rsid w:val="00891AE9"/>
    <w:rsid w:val="008924D9"/>
    <w:rsid w:val="00894030"/>
    <w:rsid w:val="008974B1"/>
    <w:rsid w:val="008A15AD"/>
    <w:rsid w:val="008C191A"/>
    <w:rsid w:val="008D004C"/>
    <w:rsid w:val="008D4B51"/>
    <w:rsid w:val="008E24CB"/>
    <w:rsid w:val="008F40B9"/>
    <w:rsid w:val="0090168E"/>
    <w:rsid w:val="00910671"/>
    <w:rsid w:val="00925721"/>
    <w:rsid w:val="00926A42"/>
    <w:rsid w:val="00927B54"/>
    <w:rsid w:val="0093598C"/>
    <w:rsid w:val="00947EE9"/>
    <w:rsid w:val="00950BA9"/>
    <w:rsid w:val="009776BA"/>
    <w:rsid w:val="00981B0B"/>
    <w:rsid w:val="0098281E"/>
    <w:rsid w:val="00984A11"/>
    <w:rsid w:val="00987354"/>
    <w:rsid w:val="00987DFC"/>
    <w:rsid w:val="00992E96"/>
    <w:rsid w:val="0099544E"/>
    <w:rsid w:val="009A452F"/>
    <w:rsid w:val="009B5DD2"/>
    <w:rsid w:val="009C6490"/>
    <w:rsid w:val="009E4C3B"/>
    <w:rsid w:val="00A055A8"/>
    <w:rsid w:val="00A0584A"/>
    <w:rsid w:val="00A132F4"/>
    <w:rsid w:val="00A17529"/>
    <w:rsid w:val="00A237EF"/>
    <w:rsid w:val="00A328E4"/>
    <w:rsid w:val="00A40FAF"/>
    <w:rsid w:val="00A73DF6"/>
    <w:rsid w:val="00A9257E"/>
    <w:rsid w:val="00AB7301"/>
    <w:rsid w:val="00AD1143"/>
    <w:rsid w:val="00AD7C22"/>
    <w:rsid w:val="00AF3C98"/>
    <w:rsid w:val="00AF55BB"/>
    <w:rsid w:val="00B01FD3"/>
    <w:rsid w:val="00B055AB"/>
    <w:rsid w:val="00B10728"/>
    <w:rsid w:val="00B11DB2"/>
    <w:rsid w:val="00B14E17"/>
    <w:rsid w:val="00B215F9"/>
    <w:rsid w:val="00B23DA6"/>
    <w:rsid w:val="00B24C65"/>
    <w:rsid w:val="00B27F61"/>
    <w:rsid w:val="00B41DA3"/>
    <w:rsid w:val="00B4271B"/>
    <w:rsid w:val="00B44A03"/>
    <w:rsid w:val="00B5131B"/>
    <w:rsid w:val="00B54BEF"/>
    <w:rsid w:val="00B8491E"/>
    <w:rsid w:val="00BA0B9C"/>
    <w:rsid w:val="00BA51AA"/>
    <w:rsid w:val="00BD3C49"/>
    <w:rsid w:val="00BE0F05"/>
    <w:rsid w:val="00BE3E02"/>
    <w:rsid w:val="00BE58F2"/>
    <w:rsid w:val="00BF1330"/>
    <w:rsid w:val="00C01CBC"/>
    <w:rsid w:val="00C02C90"/>
    <w:rsid w:val="00C03562"/>
    <w:rsid w:val="00C10E51"/>
    <w:rsid w:val="00C1198D"/>
    <w:rsid w:val="00C52DE1"/>
    <w:rsid w:val="00C57811"/>
    <w:rsid w:val="00C57F96"/>
    <w:rsid w:val="00C83D4E"/>
    <w:rsid w:val="00CA5AD6"/>
    <w:rsid w:val="00CA60EE"/>
    <w:rsid w:val="00CC6641"/>
    <w:rsid w:val="00CE4E4A"/>
    <w:rsid w:val="00CF288A"/>
    <w:rsid w:val="00CF6100"/>
    <w:rsid w:val="00D063AE"/>
    <w:rsid w:val="00D36C5A"/>
    <w:rsid w:val="00D45B4D"/>
    <w:rsid w:val="00D540E7"/>
    <w:rsid w:val="00D711A7"/>
    <w:rsid w:val="00D7705B"/>
    <w:rsid w:val="00D84739"/>
    <w:rsid w:val="00D85CF5"/>
    <w:rsid w:val="00DA479A"/>
    <w:rsid w:val="00DA5B89"/>
    <w:rsid w:val="00DA67CB"/>
    <w:rsid w:val="00DD6E79"/>
    <w:rsid w:val="00DF09AF"/>
    <w:rsid w:val="00E05C84"/>
    <w:rsid w:val="00E141C8"/>
    <w:rsid w:val="00E1448D"/>
    <w:rsid w:val="00E4050D"/>
    <w:rsid w:val="00E4588F"/>
    <w:rsid w:val="00E6275F"/>
    <w:rsid w:val="00E65974"/>
    <w:rsid w:val="00E81C38"/>
    <w:rsid w:val="00E940E4"/>
    <w:rsid w:val="00E9767E"/>
    <w:rsid w:val="00EA5002"/>
    <w:rsid w:val="00EB4CFF"/>
    <w:rsid w:val="00EB638D"/>
    <w:rsid w:val="00ED60BA"/>
    <w:rsid w:val="00EF6827"/>
    <w:rsid w:val="00F01B4B"/>
    <w:rsid w:val="00F246BE"/>
    <w:rsid w:val="00F53361"/>
    <w:rsid w:val="00F75F76"/>
    <w:rsid w:val="00F82574"/>
    <w:rsid w:val="00F83D41"/>
    <w:rsid w:val="00F973C4"/>
    <w:rsid w:val="00FA33A6"/>
    <w:rsid w:val="00FA4197"/>
    <w:rsid w:val="00FD304C"/>
    <w:rsid w:val="00FE5B33"/>
    <w:rsid w:val="00FF125B"/>
    <w:rsid w:val="00FF310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semiHidden/>
    <w:unhideWhenUsed/>
    <w:rsid w:val="00984A11"/>
    <w:rPr>
      <w:sz w:val="20"/>
    </w:rPr>
  </w:style>
  <w:style w:type="character" w:customStyle="1" w:styleId="CommentTextChar">
    <w:name w:val="Comment Text Char"/>
    <w:basedOn w:val="DefaultParagraphFont"/>
    <w:link w:val="CommentText"/>
    <w:uiPriority w:val="99"/>
    <w:semiHidden/>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
    <w:name w:val="Unresolved Mention"/>
    <w:basedOn w:val="DefaultParagraphFont"/>
    <w:uiPriority w:val="99"/>
    <w:semiHidden/>
    <w:unhideWhenUsed/>
    <w:rsid w:val="00B24C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2293">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827480124">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9305069">
      <w:bodyDiv w:val="1"/>
      <w:marLeft w:val="0"/>
      <w:marRight w:val="0"/>
      <w:marTop w:val="0"/>
      <w:marBottom w:val="0"/>
      <w:divBdr>
        <w:top w:val="none" w:sz="0" w:space="0" w:color="auto"/>
        <w:left w:val="none" w:sz="0" w:space="0" w:color="auto"/>
        <w:bottom w:val="none" w:sz="0" w:space="0" w:color="auto"/>
        <w:right w:val="none" w:sz="0" w:space="0" w:color="auto"/>
      </w:divBdr>
    </w:div>
    <w:div w:id="1779906067">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ontent.govdelivery.com/accounts/UKLGA/bulletins/1e1b957" TargetMode="External"/><Relationship Id="rId26" Type="http://schemas.openxmlformats.org/officeDocument/2006/relationships/hyperlink" Target="https://www.gov.uk/government/publications/capital-finance-guidance-on-local-government-investments-second-edition" TargetMode="External"/><Relationship Id="rId3" Type="http://schemas.openxmlformats.org/officeDocument/2006/relationships/customXml" Target="../customXml/item3.xml"/><Relationship Id="rId21" Type="http://schemas.openxmlformats.org/officeDocument/2006/relationships/hyperlink" Target="https://www.gov.uk/government/consultations/fair-funding-review-a-review-of-relative-needs-and-resour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capital-finance-guidance-on-minimum-revenue-provision-third-edition" TargetMode="External"/><Relationship Id="rId33" Type="http://schemas.openxmlformats.org/officeDocument/2006/relationships/hyperlink" Target="https://www.local.gov.uk/parliament/briefings-and-responses/local-authority-reserves-march-201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uk/sites/default/files/documents/LGA%20Response%20to%20FFR%20needs%20consultation%20-%20Mar%202018.pdf" TargetMode="External"/><Relationship Id="rId29" Type="http://schemas.openxmlformats.org/officeDocument/2006/relationships/hyperlink" Target="https://www.local.gov.uk/topics/finance-and-business-rates/other-issues-local-government-fi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www.gov.uk/government/publications/capital-finance-guidance-on-local-government-investments-second-edition" TargetMode="External"/><Relationship Id="rId32" Type="http://schemas.openxmlformats.org/officeDocument/2006/relationships/hyperlink" Target="https://www.nao.org.uk/report/financial-sustainability-of-local-authorities-2018/"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arliament.uk/business/publications/written-questions-answers-statements/written-statement/Commons/2018-03-20/HCWS569/" TargetMode="External"/><Relationship Id="rId28" Type="http://schemas.openxmlformats.org/officeDocument/2006/relationships/hyperlink" Target="https://www.gov.uk/government/consultations/proposed-changes-to-the-prudential-framework-of-capital-finance" TargetMode="External"/><Relationship Id="rId10" Type="http://schemas.openxmlformats.org/officeDocument/2006/relationships/endnotes" Target="endnotes.xml"/><Relationship Id="rId19" Type="http://schemas.openxmlformats.org/officeDocument/2006/relationships/hyperlink" Target="https://www.local.gov.uk/about/news/lga-responds-spring-statement-2018" TargetMode="External"/><Relationship Id="rId31" Type="http://schemas.openxmlformats.org/officeDocument/2006/relationships/hyperlink" Target="https://www.local.gov.uk/about/news/lga-responds-nao-report-financial-sustainability-local-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ocal.gov.uk/topics/finance-and-business-rates/business-rates-retention" TargetMode="External"/><Relationship Id="rId27" Type="http://schemas.openxmlformats.org/officeDocument/2006/relationships/hyperlink" Target="https://www.gov.uk/government/publications/capital-finance-guidance-on-minimum-revenue-provision-third-edition" TargetMode="External"/><Relationship Id="rId30" Type="http://schemas.openxmlformats.org/officeDocument/2006/relationships/hyperlink" Target="https://www.nao.org.uk/report/financial-sustainability-of-local-authorities-2018/"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terms/"/>
    <ds:schemaRef ds:uri="http://www.w3.org/XML/1998/namespace"/>
    <ds:schemaRef ds:uri="846c3db3-041b-47fd-b02b-1debea70191d"/>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33320922-3aa3-40cb-b26e-1bfebf933094"/>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971E7266-3A9E-48AC-A119-E6506D8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C3D43947</Template>
  <TotalTime>8</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4</cp:revision>
  <dcterms:created xsi:type="dcterms:W3CDTF">2018-03-27T09:13:00Z</dcterms:created>
  <dcterms:modified xsi:type="dcterms:W3CDTF">2018-03-29T11:58:00Z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